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B7C2" w14:textId="20B41557" w:rsidR="00105BD1" w:rsidRDefault="00105BD1" w:rsidP="00105BD1">
      <w:pPr>
        <w:pStyle w:val="Heading1"/>
      </w:pPr>
      <w:r>
        <w:t>New Market and Value Adding consolidated list</w:t>
      </w:r>
    </w:p>
    <w:p w14:paraId="23FE9F5A" w14:textId="2A0A9FBE" w:rsidR="00D25813" w:rsidRDefault="00D25813" w:rsidP="00D25813"/>
    <w:p w14:paraId="42DA62BA" w14:textId="77777777" w:rsidR="006169D9" w:rsidRPr="00E35DD4" w:rsidRDefault="006169D9" w:rsidP="006169D9">
      <w:pPr>
        <w:rPr>
          <w:rFonts w:ascii="Calibri" w:hAnsi="Calibri" w:cs="Calibri"/>
          <w:lang w:val="en-US"/>
        </w:rPr>
      </w:pPr>
      <w:r w:rsidRPr="00E35DD4">
        <w:rPr>
          <w:rFonts w:ascii="Calibri" w:hAnsi="Calibri" w:cs="Calibri"/>
          <w:lang w:val="en-US"/>
        </w:rPr>
        <w:t xml:space="preserve">The following list has been developed by AUSVEG SA with support from Hort Innovation and the </w:t>
      </w:r>
      <w:proofErr w:type="spellStart"/>
      <w:r w:rsidRPr="00E35DD4">
        <w:rPr>
          <w:rFonts w:ascii="Calibri" w:hAnsi="Calibri" w:cs="Calibri"/>
          <w:lang w:val="en-US"/>
        </w:rPr>
        <w:t>VegNET</w:t>
      </w:r>
      <w:proofErr w:type="spellEnd"/>
      <w:r w:rsidRPr="00E35DD4">
        <w:rPr>
          <w:rFonts w:ascii="Calibri" w:hAnsi="Calibri" w:cs="Calibri"/>
          <w:lang w:val="en-US"/>
        </w:rPr>
        <w:t xml:space="preserve"> SA program to support SA growers to access resources available to assist in their businesses. </w:t>
      </w:r>
    </w:p>
    <w:p w14:paraId="4F0A459F" w14:textId="77777777" w:rsidR="006169D9" w:rsidRDefault="006169D9" w:rsidP="006169D9">
      <w:pPr>
        <w:rPr>
          <w:lang w:val="en-US"/>
        </w:rPr>
      </w:pPr>
    </w:p>
    <w:p w14:paraId="581DCC9C" w14:textId="77777777" w:rsidR="006169D9" w:rsidRPr="00E35DD4" w:rsidRDefault="006169D9" w:rsidP="006169D9">
      <w:r>
        <w:rPr>
          <w:noProof/>
        </w:rPr>
        <w:drawing>
          <wp:inline distT="0" distB="0" distL="0" distR="0" wp14:anchorId="0A3F7370" wp14:editId="3F3C3F58">
            <wp:extent cx="1333500" cy="461010"/>
            <wp:effectExtent l="0" t="0" r="0" b="0"/>
            <wp:docPr id="4" name="Picture 4" descr="AUSVEG SA_Updated Tagline (00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Picture 1" descr="AUSVEG SA_Updated Tagline (002)">
                      <a:hlinkClick r:id="rId4"/>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732" cy="464893"/>
                    </a:xfrm>
                    <a:prstGeom prst="rect">
                      <a:avLst/>
                    </a:prstGeom>
                    <a:noFill/>
                    <a:ln>
                      <a:noFill/>
                    </a:ln>
                  </pic:spPr>
                </pic:pic>
              </a:graphicData>
            </a:graphic>
          </wp:inline>
        </w:drawing>
      </w:r>
      <w:r>
        <w:rPr>
          <w:b/>
          <w:bCs/>
          <w:noProof/>
        </w:rPr>
        <w:drawing>
          <wp:inline distT="0" distB="0" distL="0" distR="0" wp14:anchorId="0556DA87" wp14:editId="700A326D">
            <wp:extent cx="1365744" cy="438786"/>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072" cy="457204"/>
                    </a:xfrm>
                    <a:prstGeom prst="rect">
                      <a:avLst/>
                    </a:prstGeom>
                    <a:noFill/>
                    <a:ln>
                      <a:noFill/>
                    </a:ln>
                  </pic:spPr>
                </pic:pic>
              </a:graphicData>
            </a:graphic>
          </wp:inline>
        </w:drawing>
      </w:r>
    </w:p>
    <w:p w14:paraId="749EFCAF" w14:textId="1250BC6A" w:rsidR="00D25813" w:rsidRDefault="00D25813" w:rsidP="00D25813"/>
    <w:p w14:paraId="3E58E548" w14:textId="77777777" w:rsidR="00D25813" w:rsidRDefault="00D25813" w:rsidP="00D25813"/>
    <w:p w14:paraId="3A7F9D0E" w14:textId="6B7ED84A" w:rsidR="00D25813" w:rsidRDefault="00484AF8" w:rsidP="00484AF8">
      <w:pPr>
        <w:pStyle w:val="Heading1"/>
      </w:pPr>
      <w:r>
        <w:t>Export resources</w:t>
      </w:r>
    </w:p>
    <w:p w14:paraId="70633C3B" w14:textId="77777777" w:rsidR="00D25813" w:rsidRPr="00D25813" w:rsidRDefault="00D25813" w:rsidP="00D25813"/>
    <w:tbl>
      <w:tblPr>
        <w:tblStyle w:val="TableGrid"/>
        <w:tblW w:w="4974" w:type="pct"/>
        <w:tblLayout w:type="fixed"/>
        <w:tblLook w:val="04A0" w:firstRow="1" w:lastRow="0" w:firstColumn="1" w:lastColumn="0" w:noHBand="0" w:noVBand="1"/>
      </w:tblPr>
      <w:tblGrid>
        <w:gridCol w:w="1838"/>
        <w:gridCol w:w="42"/>
        <w:gridCol w:w="4152"/>
        <w:gridCol w:w="60"/>
        <w:gridCol w:w="2098"/>
        <w:gridCol w:w="106"/>
        <w:gridCol w:w="2048"/>
        <w:gridCol w:w="52"/>
      </w:tblGrid>
      <w:tr w:rsidR="00B64B1C" w:rsidRPr="00105BD1" w14:paraId="407508A0" w14:textId="77777777" w:rsidTr="00484AF8">
        <w:trPr>
          <w:trHeight w:val="1079"/>
        </w:trPr>
        <w:tc>
          <w:tcPr>
            <w:tcW w:w="884" w:type="pct"/>
            <w:shd w:val="clear" w:color="auto" w:fill="B4C6E7" w:themeFill="accent1" w:themeFillTint="66"/>
            <w:hideMark/>
          </w:tcPr>
          <w:p w14:paraId="59CC57A7" w14:textId="77777777" w:rsidR="00B64B1C" w:rsidRPr="00105BD1" w:rsidRDefault="00B64B1C" w:rsidP="00B94303">
            <w:pPr>
              <w:rPr>
                <w:rFonts w:eastAsia="Times New Roman" w:cstheme="minorHAnsi"/>
                <w:b/>
                <w:bCs/>
              </w:rPr>
            </w:pPr>
            <w:r w:rsidRPr="00105BD1">
              <w:rPr>
                <w:rFonts w:eastAsia="Times New Roman" w:cstheme="minorHAnsi"/>
                <w:b/>
                <w:bCs/>
              </w:rPr>
              <w:t>Title</w:t>
            </w:r>
          </w:p>
        </w:tc>
        <w:tc>
          <w:tcPr>
            <w:tcW w:w="2046" w:type="pct"/>
            <w:gridSpan w:val="3"/>
            <w:shd w:val="clear" w:color="auto" w:fill="B4C6E7" w:themeFill="accent1" w:themeFillTint="66"/>
            <w:hideMark/>
          </w:tcPr>
          <w:p w14:paraId="0F4B889F" w14:textId="77777777" w:rsidR="00B64B1C" w:rsidRPr="00105BD1" w:rsidRDefault="00B64B1C" w:rsidP="00B94303">
            <w:pPr>
              <w:rPr>
                <w:rFonts w:eastAsia="Times New Roman" w:cstheme="minorHAnsi"/>
                <w:b/>
                <w:bCs/>
              </w:rPr>
            </w:pPr>
            <w:r w:rsidRPr="00105BD1">
              <w:rPr>
                <w:rFonts w:eastAsia="Times New Roman" w:cstheme="minorHAnsi"/>
                <w:b/>
                <w:bCs/>
              </w:rPr>
              <w:t>Description</w:t>
            </w:r>
          </w:p>
        </w:tc>
        <w:tc>
          <w:tcPr>
            <w:tcW w:w="1009" w:type="pct"/>
            <w:shd w:val="clear" w:color="auto" w:fill="B4C6E7" w:themeFill="accent1" w:themeFillTint="66"/>
            <w:hideMark/>
          </w:tcPr>
          <w:p w14:paraId="5FC50544" w14:textId="77777777" w:rsidR="00B64B1C" w:rsidRPr="00105BD1" w:rsidRDefault="00B64B1C" w:rsidP="00B94303">
            <w:pPr>
              <w:rPr>
                <w:rFonts w:eastAsia="Times New Roman" w:cstheme="minorHAnsi"/>
                <w:b/>
                <w:bCs/>
              </w:rPr>
            </w:pPr>
            <w:r w:rsidRPr="00105BD1">
              <w:rPr>
                <w:rFonts w:eastAsia="Times New Roman" w:cstheme="minorHAnsi"/>
                <w:b/>
                <w:bCs/>
              </w:rPr>
              <w:t>Expert contact</w:t>
            </w:r>
          </w:p>
        </w:tc>
        <w:tc>
          <w:tcPr>
            <w:tcW w:w="1061" w:type="pct"/>
            <w:gridSpan w:val="3"/>
            <w:shd w:val="clear" w:color="auto" w:fill="B4C6E7" w:themeFill="accent1" w:themeFillTint="66"/>
            <w:hideMark/>
          </w:tcPr>
          <w:p w14:paraId="2467E2D0" w14:textId="77777777" w:rsidR="00B64B1C" w:rsidRPr="00105BD1" w:rsidRDefault="00B64B1C" w:rsidP="00B94303">
            <w:pPr>
              <w:rPr>
                <w:rFonts w:eastAsia="Times New Roman" w:cstheme="minorHAnsi"/>
                <w:b/>
                <w:bCs/>
              </w:rPr>
            </w:pPr>
            <w:r w:rsidRPr="00105BD1">
              <w:rPr>
                <w:rFonts w:eastAsia="Times New Roman" w:cstheme="minorHAnsi"/>
                <w:b/>
                <w:bCs/>
              </w:rPr>
              <w:t>Link</w:t>
            </w:r>
          </w:p>
        </w:tc>
      </w:tr>
      <w:tr w:rsidR="00484AF8" w:rsidRPr="00105BD1" w14:paraId="609920F0" w14:textId="77777777" w:rsidTr="00484AF8">
        <w:trPr>
          <w:trHeight w:val="1680"/>
        </w:trPr>
        <w:tc>
          <w:tcPr>
            <w:tcW w:w="884" w:type="pct"/>
            <w:hideMark/>
          </w:tcPr>
          <w:p w14:paraId="7B072A89" w14:textId="77777777" w:rsidR="00484AF8" w:rsidRPr="00105BD1" w:rsidRDefault="00484AF8" w:rsidP="009114F3">
            <w:pPr>
              <w:rPr>
                <w:rFonts w:eastAsia="Times New Roman" w:cstheme="minorHAnsi"/>
                <w:b/>
                <w:bCs/>
              </w:rPr>
            </w:pPr>
            <w:r w:rsidRPr="00105BD1">
              <w:rPr>
                <w:rFonts w:eastAsia="Times New Roman" w:cstheme="minorHAnsi"/>
                <w:b/>
                <w:bCs/>
              </w:rPr>
              <w:t>Vegetable industry export program (VG16061)</w:t>
            </w:r>
          </w:p>
        </w:tc>
        <w:tc>
          <w:tcPr>
            <w:tcW w:w="2046" w:type="pct"/>
            <w:gridSpan w:val="3"/>
            <w:hideMark/>
          </w:tcPr>
          <w:p w14:paraId="5CF7BEBB" w14:textId="77777777" w:rsidR="00484AF8" w:rsidRPr="00105BD1" w:rsidRDefault="00484AF8" w:rsidP="009114F3">
            <w:pPr>
              <w:rPr>
                <w:rFonts w:eastAsia="Times New Roman" w:cstheme="minorHAnsi"/>
              </w:rPr>
            </w:pPr>
            <w:r w:rsidRPr="00105BD1">
              <w:rPr>
                <w:rFonts w:eastAsia="Times New Roman" w:cstheme="minorHAnsi"/>
              </w:rPr>
              <w:t>Beginning in mid-2017, this project will position the industry to achieve the target of growing exports by 40 per cent – to the value of $315 million – by 2020. This target was announced in 2017, with the release of the Vegetable Industry Export Market Development Strategy 2020. You can read more about the strategy here and can contact AUSVEG on (03) 9882 0277 to access a copy of the full strategy document.</w:t>
            </w:r>
          </w:p>
        </w:tc>
        <w:tc>
          <w:tcPr>
            <w:tcW w:w="1009" w:type="pct"/>
            <w:hideMark/>
          </w:tcPr>
          <w:p w14:paraId="275CFA9B" w14:textId="77777777" w:rsidR="00484AF8" w:rsidRPr="00105BD1" w:rsidRDefault="00484AF8" w:rsidP="009114F3">
            <w:pPr>
              <w:rPr>
                <w:rFonts w:eastAsia="Times New Roman" w:cstheme="minorHAnsi"/>
              </w:rPr>
            </w:pPr>
            <w:r w:rsidRPr="00105BD1">
              <w:rPr>
                <w:rFonts w:eastAsia="Times New Roman" w:cstheme="minorHAnsi"/>
              </w:rPr>
              <w:t xml:space="preserve">AUSVEG (03) 9882 0277 </w:t>
            </w:r>
          </w:p>
        </w:tc>
        <w:tc>
          <w:tcPr>
            <w:tcW w:w="1061" w:type="pct"/>
            <w:gridSpan w:val="3"/>
            <w:hideMark/>
          </w:tcPr>
          <w:p w14:paraId="3506CAA6" w14:textId="77777777" w:rsidR="00484AF8" w:rsidRPr="00105BD1" w:rsidRDefault="00484AF8" w:rsidP="009114F3">
            <w:pPr>
              <w:rPr>
                <w:rFonts w:eastAsia="Times New Roman" w:cstheme="minorHAnsi"/>
                <w:color w:val="0000FF"/>
                <w:u w:val="single"/>
              </w:rPr>
            </w:pPr>
            <w:hyperlink r:id="rId7" w:history="1">
              <w:r w:rsidRPr="00105BD1">
                <w:rPr>
                  <w:rFonts w:eastAsia="Times New Roman" w:cstheme="minorHAnsi"/>
                  <w:color w:val="0000FF"/>
                  <w:u w:val="single"/>
                </w:rPr>
                <w:t>https://www.horticulture.com.au/growers/help-your-business-grow/research-reports-publications-fact-sheets-and-more/vg16061/</w:t>
              </w:r>
            </w:hyperlink>
          </w:p>
        </w:tc>
      </w:tr>
      <w:tr w:rsidR="00484AF8" w:rsidRPr="00105BD1" w14:paraId="19368BBE" w14:textId="77777777" w:rsidTr="00484AF8">
        <w:trPr>
          <w:gridAfter w:val="1"/>
          <w:wAfter w:w="25" w:type="pct"/>
          <w:trHeight w:val="1680"/>
        </w:trPr>
        <w:tc>
          <w:tcPr>
            <w:tcW w:w="904" w:type="pct"/>
            <w:gridSpan w:val="2"/>
            <w:hideMark/>
          </w:tcPr>
          <w:p w14:paraId="461BF06C" w14:textId="77777777" w:rsidR="00484AF8" w:rsidRPr="00105BD1" w:rsidRDefault="00484AF8" w:rsidP="009114F3">
            <w:pPr>
              <w:rPr>
                <w:rFonts w:eastAsia="Times New Roman" w:cstheme="minorHAnsi"/>
                <w:b/>
                <w:bCs/>
                <w:color w:val="000000"/>
              </w:rPr>
            </w:pPr>
            <w:r w:rsidRPr="00105BD1">
              <w:rPr>
                <w:rFonts w:eastAsia="Times New Roman" w:cstheme="minorHAnsi"/>
                <w:b/>
                <w:bCs/>
                <w:color w:val="000000"/>
              </w:rPr>
              <w:t>New online Export Fundamentals training course</w:t>
            </w:r>
          </w:p>
        </w:tc>
        <w:tc>
          <w:tcPr>
            <w:tcW w:w="1997" w:type="pct"/>
            <w:hideMark/>
          </w:tcPr>
          <w:p w14:paraId="38E342F7" w14:textId="77777777" w:rsidR="00484AF8" w:rsidRPr="00105BD1" w:rsidRDefault="00484AF8" w:rsidP="009114F3">
            <w:pPr>
              <w:rPr>
                <w:rFonts w:eastAsia="Times New Roman" w:cstheme="minorHAnsi"/>
                <w:color w:val="000000"/>
              </w:rPr>
            </w:pPr>
            <w:r w:rsidRPr="00105BD1">
              <w:rPr>
                <w:rFonts w:eastAsia="Times New Roman" w:cstheme="minorHAnsi"/>
                <w:color w:val="000000"/>
              </w:rPr>
              <w:t>AUSVEG and the Export Council of Australia have recently launched a new online e-learning training program for aspiring vegetable exporters.</w:t>
            </w:r>
            <w:r w:rsidRPr="00105BD1">
              <w:rPr>
                <w:rFonts w:eastAsia="Times New Roman" w:cstheme="minorHAnsi"/>
                <w:color w:val="000000"/>
              </w:rPr>
              <w:br/>
            </w:r>
            <w:r w:rsidRPr="00105BD1">
              <w:rPr>
                <w:rFonts w:eastAsia="Times New Roman" w:cstheme="minorHAnsi"/>
                <w:color w:val="000000"/>
              </w:rPr>
              <w:br/>
              <w:t>The Export Fundamentals for Australian Fruit &amp; Vegetable Growers: From Farmgate to International Markets course contains 11 e-learning modules, covering a broad range of topics relating to international trade for fresh produce.</w:t>
            </w:r>
          </w:p>
        </w:tc>
        <w:tc>
          <w:tcPr>
            <w:tcW w:w="1089" w:type="pct"/>
            <w:gridSpan w:val="3"/>
            <w:hideMark/>
          </w:tcPr>
          <w:p w14:paraId="018CCE82" w14:textId="77777777" w:rsidR="00484AF8" w:rsidRPr="00105BD1" w:rsidRDefault="00484AF8" w:rsidP="009114F3">
            <w:pPr>
              <w:rPr>
                <w:rFonts w:eastAsia="Times New Roman" w:cstheme="minorHAnsi"/>
                <w:color w:val="000000"/>
              </w:rPr>
            </w:pPr>
            <w:r w:rsidRPr="00105BD1">
              <w:rPr>
                <w:rFonts w:eastAsia="Times New Roman" w:cstheme="minorHAnsi"/>
                <w:color w:val="000000"/>
              </w:rPr>
              <w:t>Contact the AUSVEG Export Department at export@ausveg.com.au</w:t>
            </w:r>
          </w:p>
        </w:tc>
        <w:tc>
          <w:tcPr>
            <w:tcW w:w="985" w:type="pct"/>
            <w:hideMark/>
          </w:tcPr>
          <w:p w14:paraId="11DAFD5D" w14:textId="77777777" w:rsidR="00484AF8" w:rsidRPr="00105BD1" w:rsidRDefault="00484AF8" w:rsidP="009114F3">
            <w:pPr>
              <w:rPr>
                <w:rFonts w:eastAsia="Times New Roman" w:cstheme="minorHAnsi"/>
                <w:color w:val="1155CC"/>
                <w:u w:val="single"/>
              </w:rPr>
            </w:pPr>
            <w:hyperlink r:id="rId8" w:history="1">
              <w:r w:rsidRPr="00105BD1">
                <w:rPr>
                  <w:rFonts w:eastAsia="Times New Roman" w:cstheme="minorHAnsi"/>
                  <w:color w:val="1155CC"/>
                  <w:u w:val="single"/>
                </w:rPr>
                <w:t>https://ausveg.com.au/articles/new-online-export-fundamentals-training-course/</w:t>
              </w:r>
            </w:hyperlink>
          </w:p>
        </w:tc>
      </w:tr>
      <w:tr w:rsidR="00484AF8" w:rsidRPr="00105BD1" w14:paraId="5491B6C8" w14:textId="77777777" w:rsidTr="00484AF8">
        <w:trPr>
          <w:gridAfter w:val="1"/>
          <w:wAfter w:w="25" w:type="pct"/>
          <w:trHeight w:val="2520"/>
        </w:trPr>
        <w:tc>
          <w:tcPr>
            <w:tcW w:w="904" w:type="pct"/>
            <w:gridSpan w:val="2"/>
            <w:hideMark/>
          </w:tcPr>
          <w:p w14:paraId="6DA47D2C" w14:textId="77777777" w:rsidR="00484AF8" w:rsidRPr="00105BD1" w:rsidRDefault="00484AF8" w:rsidP="009114F3">
            <w:pPr>
              <w:rPr>
                <w:rFonts w:eastAsia="Times New Roman" w:cstheme="minorHAnsi"/>
                <w:b/>
                <w:bCs/>
              </w:rPr>
            </w:pPr>
            <w:r w:rsidRPr="00105BD1">
              <w:rPr>
                <w:rFonts w:eastAsia="Times New Roman" w:cstheme="minorHAnsi"/>
                <w:b/>
                <w:bCs/>
              </w:rPr>
              <w:t>Breaking barriers through trade and Taste Australia</w:t>
            </w:r>
          </w:p>
        </w:tc>
        <w:tc>
          <w:tcPr>
            <w:tcW w:w="1997" w:type="pct"/>
            <w:hideMark/>
          </w:tcPr>
          <w:p w14:paraId="5A630562" w14:textId="77777777" w:rsidR="00484AF8" w:rsidRPr="00105BD1" w:rsidRDefault="00484AF8" w:rsidP="009114F3">
            <w:pPr>
              <w:rPr>
                <w:rFonts w:eastAsia="Times New Roman" w:cstheme="minorHAnsi"/>
              </w:rPr>
            </w:pPr>
            <w:r w:rsidRPr="00105BD1">
              <w:rPr>
                <w:rFonts w:eastAsia="Times New Roman" w:cstheme="minorHAnsi"/>
              </w:rPr>
              <w:t xml:space="preserve">If you are a grower looking to expand your business into the export market, or if you are a grower wanting to know how international trade helps to support your domestic operation, then this episode will not disappoint. Two of Hort Innovation’s finest will reveal all their secrets to help you grow your business, understand the trade and export </w:t>
            </w:r>
            <w:proofErr w:type="gramStart"/>
            <w:r w:rsidRPr="00105BD1">
              <w:rPr>
                <w:rFonts w:eastAsia="Times New Roman" w:cstheme="minorHAnsi"/>
              </w:rPr>
              <w:t>market</w:t>
            </w:r>
            <w:proofErr w:type="gramEnd"/>
            <w:r w:rsidRPr="00105BD1">
              <w:rPr>
                <w:rFonts w:eastAsia="Times New Roman" w:cstheme="minorHAnsi"/>
              </w:rPr>
              <w:t xml:space="preserve"> and give you the tools you need to succeed in getting your </w:t>
            </w:r>
            <w:r w:rsidRPr="00105BD1">
              <w:rPr>
                <w:rFonts w:eastAsia="Times New Roman" w:cstheme="minorHAnsi"/>
              </w:rPr>
              <w:lastRenderedPageBreak/>
              <w:t>premium quality fruit into the international market. Julie Willis, Manager, International Market Development at Hort Innovation also discusses the national brand under which all Australian horticultural produce is represented – Taste Australia – and how to make the brand work for you.</w:t>
            </w:r>
          </w:p>
        </w:tc>
        <w:tc>
          <w:tcPr>
            <w:tcW w:w="1089" w:type="pct"/>
            <w:gridSpan w:val="3"/>
            <w:hideMark/>
          </w:tcPr>
          <w:p w14:paraId="23D258F2" w14:textId="77777777" w:rsidR="00484AF8" w:rsidRPr="00105BD1" w:rsidRDefault="00484AF8" w:rsidP="009114F3">
            <w:pPr>
              <w:rPr>
                <w:rFonts w:eastAsia="Times New Roman" w:cstheme="minorHAnsi"/>
              </w:rPr>
            </w:pPr>
            <w:r w:rsidRPr="00105BD1">
              <w:rPr>
                <w:rFonts w:eastAsia="Times New Roman" w:cstheme="minorHAnsi"/>
              </w:rPr>
              <w:lastRenderedPageBreak/>
              <w:t>Online access</w:t>
            </w:r>
          </w:p>
        </w:tc>
        <w:tc>
          <w:tcPr>
            <w:tcW w:w="985" w:type="pct"/>
            <w:hideMark/>
          </w:tcPr>
          <w:p w14:paraId="57AAF54F" w14:textId="77777777" w:rsidR="00484AF8" w:rsidRPr="00105BD1" w:rsidRDefault="00484AF8" w:rsidP="009114F3">
            <w:pPr>
              <w:rPr>
                <w:rFonts w:eastAsia="Times New Roman" w:cstheme="minorHAnsi"/>
                <w:color w:val="0000FF"/>
                <w:u w:val="single"/>
              </w:rPr>
            </w:pPr>
            <w:hyperlink r:id="rId9" w:history="1">
              <w:r w:rsidRPr="00105BD1">
                <w:rPr>
                  <w:rFonts w:eastAsia="Times New Roman" w:cstheme="minorHAnsi"/>
                  <w:color w:val="0000FF"/>
                  <w:u w:val="single"/>
                </w:rPr>
                <w:t>https://www.horticulture.com.au/growers/help-your-business-grow/research-reports-publications-fact-sheets-and-more/Breaking-barriers-through-</w:t>
              </w:r>
              <w:r w:rsidRPr="00105BD1">
                <w:rPr>
                  <w:rFonts w:eastAsia="Times New Roman" w:cstheme="minorHAnsi"/>
                  <w:color w:val="0000FF"/>
                  <w:u w:val="single"/>
                </w:rPr>
                <w:lastRenderedPageBreak/>
                <w:t>trade-and-Taste-Australia/</w:t>
              </w:r>
            </w:hyperlink>
          </w:p>
        </w:tc>
      </w:tr>
    </w:tbl>
    <w:p w14:paraId="6337412D" w14:textId="1B0DD84A" w:rsidR="00B64B1C" w:rsidRPr="00105BD1" w:rsidRDefault="00B64B1C">
      <w:pPr>
        <w:rPr>
          <w:rFonts w:cstheme="minorHAnsi"/>
        </w:rPr>
      </w:pPr>
      <w:r w:rsidRPr="00105BD1">
        <w:rPr>
          <w:rFonts w:cstheme="minorHAnsi"/>
        </w:rPr>
        <w:br w:type="page"/>
      </w:r>
    </w:p>
    <w:p w14:paraId="0683692D" w14:textId="70454BA7" w:rsidR="00B64B1C" w:rsidRPr="00105BD1" w:rsidRDefault="00484AF8" w:rsidP="00484AF8">
      <w:pPr>
        <w:pStyle w:val="Heading1"/>
      </w:pPr>
      <w:r>
        <w:lastRenderedPageBreak/>
        <w:t>Product Development</w:t>
      </w:r>
    </w:p>
    <w:tbl>
      <w:tblPr>
        <w:tblStyle w:val="TableGrid"/>
        <w:tblW w:w="5000" w:type="pct"/>
        <w:tblLayout w:type="fixed"/>
        <w:tblLook w:val="04A0" w:firstRow="1" w:lastRow="0" w:firstColumn="1" w:lastColumn="0" w:noHBand="0" w:noVBand="1"/>
      </w:tblPr>
      <w:tblGrid>
        <w:gridCol w:w="1835"/>
        <w:gridCol w:w="42"/>
        <w:gridCol w:w="4153"/>
        <w:gridCol w:w="59"/>
        <w:gridCol w:w="2098"/>
        <w:gridCol w:w="107"/>
        <w:gridCol w:w="2100"/>
        <w:gridCol w:w="56"/>
      </w:tblGrid>
      <w:tr w:rsidR="00B64B1C" w:rsidRPr="00105BD1" w14:paraId="66878B8B" w14:textId="77777777" w:rsidTr="00484AF8">
        <w:trPr>
          <w:trHeight w:val="1295"/>
        </w:trPr>
        <w:tc>
          <w:tcPr>
            <w:tcW w:w="898" w:type="pct"/>
            <w:gridSpan w:val="2"/>
            <w:shd w:val="clear" w:color="auto" w:fill="B4C6E7" w:themeFill="accent1" w:themeFillTint="66"/>
            <w:hideMark/>
          </w:tcPr>
          <w:p w14:paraId="7A66A55B" w14:textId="77777777" w:rsidR="00B64B1C" w:rsidRPr="00105BD1" w:rsidRDefault="00B64B1C" w:rsidP="00B64B1C">
            <w:pPr>
              <w:rPr>
                <w:rFonts w:eastAsia="Times New Roman" w:cstheme="minorHAnsi"/>
                <w:b/>
                <w:bCs/>
              </w:rPr>
            </w:pPr>
            <w:r w:rsidRPr="00105BD1">
              <w:rPr>
                <w:rFonts w:eastAsia="Times New Roman" w:cstheme="minorHAnsi"/>
                <w:b/>
                <w:bCs/>
              </w:rPr>
              <w:t>Title</w:t>
            </w:r>
          </w:p>
        </w:tc>
        <w:tc>
          <w:tcPr>
            <w:tcW w:w="1987" w:type="pct"/>
            <w:shd w:val="clear" w:color="auto" w:fill="B4C6E7" w:themeFill="accent1" w:themeFillTint="66"/>
            <w:hideMark/>
          </w:tcPr>
          <w:p w14:paraId="4EE2953C" w14:textId="77777777" w:rsidR="00B64B1C" w:rsidRPr="00105BD1" w:rsidRDefault="00B64B1C" w:rsidP="00B64B1C">
            <w:pPr>
              <w:rPr>
                <w:rFonts w:eastAsia="Times New Roman" w:cstheme="minorHAnsi"/>
                <w:b/>
                <w:bCs/>
              </w:rPr>
            </w:pPr>
            <w:r w:rsidRPr="00105BD1">
              <w:rPr>
                <w:rFonts w:eastAsia="Times New Roman" w:cstheme="minorHAnsi"/>
                <w:b/>
                <w:bCs/>
              </w:rPr>
              <w:t>Description</w:t>
            </w:r>
          </w:p>
        </w:tc>
        <w:tc>
          <w:tcPr>
            <w:tcW w:w="1083" w:type="pct"/>
            <w:gridSpan w:val="3"/>
            <w:shd w:val="clear" w:color="auto" w:fill="B4C6E7" w:themeFill="accent1" w:themeFillTint="66"/>
            <w:hideMark/>
          </w:tcPr>
          <w:p w14:paraId="6583FE54" w14:textId="77777777" w:rsidR="00B64B1C" w:rsidRPr="00105BD1" w:rsidRDefault="00B64B1C" w:rsidP="00B64B1C">
            <w:pPr>
              <w:rPr>
                <w:rFonts w:eastAsia="Times New Roman" w:cstheme="minorHAnsi"/>
                <w:b/>
                <w:bCs/>
              </w:rPr>
            </w:pPr>
            <w:r w:rsidRPr="00105BD1">
              <w:rPr>
                <w:rFonts w:eastAsia="Times New Roman" w:cstheme="minorHAnsi"/>
                <w:b/>
                <w:bCs/>
              </w:rPr>
              <w:t>Expert contact</w:t>
            </w:r>
          </w:p>
        </w:tc>
        <w:tc>
          <w:tcPr>
            <w:tcW w:w="1032" w:type="pct"/>
            <w:gridSpan w:val="2"/>
            <w:shd w:val="clear" w:color="auto" w:fill="B4C6E7" w:themeFill="accent1" w:themeFillTint="66"/>
            <w:hideMark/>
          </w:tcPr>
          <w:p w14:paraId="13C0CD10" w14:textId="77777777" w:rsidR="00B64B1C" w:rsidRPr="00105BD1" w:rsidRDefault="00B64B1C" w:rsidP="00B64B1C">
            <w:pPr>
              <w:rPr>
                <w:rFonts w:eastAsia="Times New Roman" w:cstheme="minorHAnsi"/>
                <w:b/>
                <w:bCs/>
              </w:rPr>
            </w:pPr>
            <w:r w:rsidRPr="00105BD1">
              <w:rPr>
                <w:rFonts w:eastAsia="Times New Roman" w:cstheme="minorHAnsi"/>
                <w:b/>
                <w:bCs/>
              </w:rPr>
              <w:t>Link</w:t>
            </w:r>
          </w:p>
        </w:tc>
      </w:tr>
      <w:tr w:rsidR="00484AF8" w:rsidRPr="00105BD1" w14:paraId="3E61A8A3" w14:textId="77777777" w:rsidTr="00484AF8">
        <w:trPr>
          <w:gridAfter w:val="1"/>
          <w:wAfter w:w="26" w:type="pct"/>
          <w:trHeight w:val="1960"/>
        </w:trPr>
        <w:tc>
          <w:tcPr>
            <w:tcW w:w="878" w:type="pct"/>
            <w:hideMark/>
          </w:tcPr>
          <w:p w14:paraId="304CB4FF" w14:textId="77777777" w:rsidR="00484AF8" w:rsidRPr="00105BD1" w:rsidRDefault="00484AF8" w:rsidP="009114F3">
            <w:pPr>
              <w:rPr>
                <w:rFonts w:eastAsia="Times New Roman" w:cstheme="minorHAnsi"/>
                <w:b/>
                <w:bCs/>
              </w:rPr>
            </w:pPr>
            <w:r w:rsidRPr="00105BD1">
              <w:rPr>
                <w:rFonts w:eastAsia="Times New Roman" w:cstheme="minorHAnsi"/>
                <w:b/>
                <w:bCs/>
              </w:rPr>
              <w:t>Identifying and sharing postharvest best practice on-farm and online (VG13083)</w:t>
            </w:r>
          </w:p>
        </w:tc>
        <w:tc>
          <w:tcPr>
            <w:tcW w:w="2035" w:type="pct"/>
            <w:gridSpan w:val="3"/>
            <w:hideMark/>
          </w:tcPr>
          <w:p w14:paraId="09C86B1D" w14:textId="77777777" w:rsidR="00484AF8" w:rsidRPr="00105BD1" w:rsidRDefault="00484AF8" w:rsidP="009114F3">
            <w:pPr>
              <w:rPr>
                <w:rFonts w:eastAsia="Times New Roman" w:cstheme="minorHAnsi"/>
              </w:rPr>
            </w:pPr>
            <w:r w:rsidRPr="00105BD1">
              <w:rPr>
                <w:rFonts w:eastAsia="Times New Roman" w:cstheme="minorHAnsi"/>
              </w:rPr>
              <w:t>This project was responsible for documenting and communicating techniques and technologies to help vegetable growers achieve post-harvest efficiencies – finding ways to improve quality and shelf life, and to reduce cost, to allow growers to capture more value from the supply chain. The information from the project has been compiled into a series of extension materials, including the Postharvest management of vegetables: Australian supply chain handbook.</w:t>
            </w:r>
          </w:p>
        </w:tc>
        <w:tc>
          <w:tcPr>
            <w:tcW w:w="1004" w:type="pct"/>
            <w:hideMark/>
          </w:tcPr>
          <w:p w14:paraId="68C1EE28" w14:textId="77777777" w:rsidR="00484AF8" w:rsidRPr="00105BD1" w:rsidRDefault="00484AF8" w:rsidP="009114F3">
            <w:pPr>
              <w:rPr>
                <w:rFonts w:eastAsia="Times New Roman" w:cstheme="minorHAnsi"/>
              </w:rPr>
            </w:pPr>
            <w:r w:rsidRPr="00105BD1">
              <w:rPr>
                <w:rFonts w:eastAsia="Times New Roman" w:cstheme="minorHAnsi"/>
              </w:rPr>
              <w:t>sandra.marques@ahr.com.au</w:t>
            </w:r>
          </w:p>
        </w:tc>
        <w:tc>
          <w:tcPr>
            <w:tcW w:w="1056" w:type="pct"/>
            <w:gridSpan w:val="2"/>
            <w:hideMark/>
          </w:tcPr>
          <w:p w14:paraId="72DA5E54" w14:textId="77777777" w:rsidR="00484AF8" w:rsidRPr="00105BD1" w:rsidRDefault="00484AF8" w:rsidP="009114F3">
            <w:pPr>
              <w:rPr>
                <w:rFonts w:eastAsia="Times New Roman" w:cstheme="minorHAnsi"/>
                <w:color w:val="0000FF"/>
                <w:u w:val="single"/>
              </w:rPr>
            </w:pPr>
            <w:hyperlink r:id="rId10" w:history="1">
              <w:r w:rsidRPr="00105BD1">
                <w:rPr>
                  <w:rFonts w:eastAsia="Times New Roman" w:cstheme="minorHAnsi"/>
                  <w:color w:val="0000FF"/>
                  <w:u w:val="single"/>
                </w:rPr>
                <w:t>https://www.horticulture.com.au/growers/help-your-business-grow/research-reports-publications-fact-sheets-and-more/vg13083/</w:t>
              </w:r>
            </w:hyperlink>
          </w:p>
        </w:tc>
      </w:tr>
      <w:tr w:rsidR="00484AF8" w:rsidRPr="00105BD1" w14:paraId="6D668AB9" w14:textId="77777777" w:rsidTr="00484AF8">
        <w:trPr>
          <w:gridAfter w:val="1"/>
          <w:wAfter w:w="26" w:type="pct"/>
          <w:trHeight w:val="3080"/>
        </w:trPr>
        <w:tc>
          <w:tcPr>
            <w:tcW w:w="878" w:type="pct"/>
            <w:hideMark/>
          </w:tcPr>
          <w:p w14:paraId="350AF926" w14:textId="77777777" w:rsidR="00484AF8" w:rsidRPr="00105BD1" w:rsidRDefault="00484AF8" w:rsidP="009114F3">
            <w:pPr>
              <w:rPr>
                <w:rFonts w:eastAsia="Times New Roman" w:cstheme="minorHAnsi"/>
                <w:b/>
                <w:bCs/>
              </w:rPr>
            </w:pPr>
            <w:r w:rsidRPr="00105BD1">
              <w:rPr>
                <w:rFonts w:eastAsia="Times New Roman" w:cstheme="minorHAnsi"/>
                <w:b/>
                <w:bCs/>
              </w:rPr>
              <w:t>Tools and interventions for increasing children’s vegetable knowledge (VG16064)</w:t>
            </w:r>
          </w:p>
        </w:tc>
        <w:tc>
          <w:tcPr>
            <w:tcW w:w="2035" w:type="pct"/>
            <w:gridSpan w:val="3"/>
            <w:hideMark/>
          </w:tcPr>
          <w:p w14:paraId="010500DF" w14:textId="77777777" w:rsidR="00484AF8" w:rsidRPr="00105BD1" w:rsidRDefault="00484AF8" w:rsidP="009114F3">
            <w:pPr>
              <w:rPr>
                <w:rFonts w:eastAsia="Times New Roman" w:cstheme="minorHAnsi"/>
              </w:rPr>
            </w:pPr>
            <w:r w:rsidRPr="00105BD1">
              <w:rPr>
                <w:rFonts w:eastAsia="Times New Roman" w:cstheme="minorHAnsi"/>
              </w:rPr>
              <w:t>This investment is identifying new ways of supplying vegetables to children, helping growers better serve the key consumer market of families with young kids.</w:t>
            </w:r>
            <w:r w:rsidRPr="00105BD1">
              <w:rPr>
                <w:rFonts w:eastAsia="Times New Roman" w:cstheme="minorHAnsi"/>
              </w:rPr>
              <w:br/>
            </w:r>
            <w:r w:rsidRPr="00105BD1">
              <w:rPr>
                <w:rFonts w:eastAsia="Times New Roman" w:cstheme="minorHAnsi"/>
              </w:rPr>
              <w:br/>
              <w:t xml:space="preserve">As part of the work, researchers are developing best practice guidelines to increase vegetable knowledge, and a national online hub of vegetable educational sites and materials. The current dietary advice for children will also be updated, using evidence-based knowledge of flavour exposure and food preference development, to help vegetable acceptance. On top of that, vegetable education initiatives will be delivered in settings such as at </w:t>
            </w:r>
            <w:proofErr w:type="spellStart"/>
            <w:r w:rsidRPr="00105BD1">
              <w:rPr>
                <w:rFonts w:eastAsia="Times New Roman" w:cstheme="minorHAnsi"/>
              </w:rPr>
              <w:t>daycare</w:t>
            </w:r>
            <w:proofErr w:type="spellEnd"/>
            <w:r w:rsidRPr="00105BD1">
              <w:rPr>
                <w:rFonts w:eastAsia="Times New Roman" w:cstheme="minorHAnsi"/>
              </w:rPr>
              <w:t xml:space="preserve"> centres and early primary school facilities.</w:t>
            </w:r>
          </w:p>
        </w:tc>
        <w:tc>
          <w:tcPr>
            <w:tcW w:w="1004" w:type="pct"/>
            <w:hideMark/>
          </w:tcPr>
          <w:p w14:paraId="37FF2B3A" w14:textId="77777777" w:rsidR="00484AF8" w:rsidRDefault="00484AF8" w:rsidP="009114F3">
            <w:pPr>
              <w:rPr>
                <w:rFonts w:eastAsia="Times New Roman" w:cstheme="minorHAnsi"/>
              </w:rPr>
            </w:pPr>
            <w:r w:rsidRPr="00105BD1">
              <w:rPr>
                <w:rFonts w:eastAsia="Times New Roman" w:cstheme="minorHAnsi"/>
              </w:rPr>
              <w:t>CSIRO</w:t>
            </w:r>
          </w:p>
          <w:p w14:paraId="532A1D19" w14:textId="77777777" w:rsidR="00484AF8" w:rsidRPr="00105BD1" w:rsidRDefault="00484AF8" w:rsidP="009114F3">
            <w:pPr>
              <w:rPr>
                <w:rFonts w:eastAsia="Times New Roman" w:cstheme="minorHAnsi"/>
              </w:rPr>
            </w:pPr>
            <w:r w:rsidRPr="00105BD1">
              <w:rPr>
                <w:rFonts w:eastAsia="Times New Roman" w:cstheme="minorHAnsi"/>
              </w:rPr>
              <w:t>1300 363 400</w:t>
            </w:r>
          </w:p>
        </w:tc>
        <w:tc>
          <w:tcPr>
            <w:tcW w:w="1056" w:type="pct"/>
            <w:gridSpan w:val="2"/>
            <w:hideMark/>
          </w:tcPr>
          <w:p w14:paraId="11AB22E6" w14:textId="77777777" w:rsidR="00484AF8" w:rsidRPr="00105BD1" w:rsidRDefault="00484AF8" w:rsidP="009114F3">
            <w:pPr>
              <w:rPr>
                <w:rFonts w:eastAsia="Times New Roman" w:cstheme="minorHAnsi"/>
                <w:color w:val="0000FF"/>
                <w:u w:val="single"/>
              </w:rPr>
            </w:pPr>
            <w:hyperlink r:id="rId11" w:history="1">
              <w:r w:rsidRPr="00105BD1">
                <w:rPr>
                  <w:rFonts w:eastAsia="Times New Roman" w:cstheme="minorHAnsi"/>
                  <w:color w:val="0000FF"/>
                  <w:u w:val="single"/>
                </w:rPr>
                <w:t>https://www.horticulture.com.au/growers/help-your-business-grow/research-reports-publications-fact-sheets-and-more/vg16064/</w:t>
              </w:r>
            </w:hyperlink>
          </w:p>
        </w:tc>
      </w:tr>
    </w:tbl>
    <w:p w14:paraId="7D2F486D" w14:textId="0082604A" w:rsidR="00B64B1C" w:rsidRDefault="00B64B1C">
      <w:pPr>
        <w:rPr>
          <w:rFonts w:cstheme="minorHAnsi"/>
        </w:rPr>
      </w:pPr>
    </w:p>
    <w:p w14:paraId="3B7F4081" w14:textId="77777777" w:rsidR="006169D9" w:rsidRDefault="006169D9" w:rsidP="00484AF8">
      <w:pPr>
        <w:pStyle w:val="Heading1"/>
        <w:rPr>
          <w:b/>
          <w:bCs/>
        </w:rPr>
      </w:pPr>
    </w:p>
    <w:p w14:paraId="2548E767" w14:textId="77777777" w:rsidR="006169D9" w:rsidRDefault="006169D9" w:rsidP="00484AF8">
      <w:pPr>
        <w:pStyle w:val="Heading1"/>
        <w:rPr>
          <w:b/>
          <w:bCs/>
        </w:rPr>
      </w:pPr>
    </w:p>
    <w:p w14:paraId="14AEAB2F" w14:textId="77777777" w:rsidR="006169D9" w:rsidRDefault="006169D9" w:rsidP="00484AF8">
      <w:pPr>
        <w:pStyle w:val="Heading1"/>
        <w:rPr>
          <w:b/>
          <w:bCs/>
        </w:rPr>
      </w:pPr>
    </w:p>
    <w:p w14:paraId="26A8B31A" w14:textId="77777777" w:rsidR="006169D9" w:rsidRDefault="006169D9" w:rsidP="00484AF8">
      <w:pPr>
        <w:pStyle w:val="Heading1"/>
        <w:rPr>
          <w:b/>
          <w:bCs/>
        </w:rPr>
      </w:pPr>
    </w:p>
    <w:p w14:paraId="5E510524" w14:textId="77777777" w:rsidR="006169D9" w:rsidRDefault="006169D9" w:rsidP="00484AF8">
      <w:pPr>
        <w:pStyle w:val="Heading1"/>
        <w:rPr>
          <w:b/>
          <w:bCs/>
        </w:rPr>
      </w:pPr>
    </w:p>
    <w:p w14:paraId="24B4AC4F" w14:textId="30EBBA26" w:rsidR="00484AF8" w:rsidRPr="00484AF8" w:rsidRDefault="00484AF8" w:rsidP="00484AF8">
      <w:pPr>
        <w:pStyle w:val="Heading1"/>
        <w:rPr>
          <w:b/>
          <w:bCs/>
        </w:rPr>
      </w:pPr>
      <w:r w:rsidRPr="00484AF8">
        <w:rPr>
          <w:b/>
          <w:bCs/>
        </w:rPr>
        <w:t>Market Research</w:t>
      </w:r>
    </w:p>
    <w:p w14:paraId="68FE5ABB" w14:textId="00EB9945" w:rsidR="00484AF8" w:rsidRDefault="00484AF8">
      <w:pPr>
        <w:rPr>
          <w:rFonts w:cstheme="minorHAnsi"/>
        </w:rPr>
      </w:pPr>
    </w:p>
    <w:tbl>
      <w:tblPr>
        <w:tblStyle w:val="TableGrid"/>
        <w:tblW w:w="5000" w:type="pct"/>
        <w:tblLayout w:type="fixed"/>
        <w:tblLook w:val="04A0" w:firstRow="1" w:lastRow="0" w:firstColumn="1" w:lastColumn="0" w:noHBand="0" w:noVBand="1"/>
      </w:tblPr>
      <w:tblGrid>
        <w:gridCol w:w="1835"/>
        <w:gridCol w:w="44"/>
        <w:gridCol w:w="4153"/>
        <w:gridCol w:w="56"/>
        <w:gridCol w:w="2098"/>
        <w:gridCol w:w="109"/>
        <w:gridCol w:w="61"/>
        <w:gridCol w:w="2038"/>
        <w:gridCol w:w="56"/>
      </w:tblGrid>
      <w:tr w:rsidR="00484AF8" w:rsidRPr="00105BD1" w14:paraId="39DA2320" w14:textId="77777777" w:rsidTr="00484AF8">
        <w:trPr>
          <w:trHeight w:val="1295"/>
        </w:trPr>
        <w:tc>
          <w:tcPr>
            <w:tcW w:w="899" w:type="pct"/>
            <w:gridSpan w:val="2"/>
            <w:shd w:val="clear" w:color="auto" w:fill="B4C6E7" w:themeFill="accent1" w:themeFillTint="66"/>
            <w:hideMark/>
          </w:tcPr>
          <w:p w14:paraId="2DA48C67" w14:textId="77777777" w:rsidR="00484AF8" w:rsidRPr="00105BD1" w:rsidRDefault="00484AF8" w:rsidP="009114F3">
            <w:pPr>
              <w:rPr>
                <w:rFonts w:eastAsia="Times New Roman" w:cstheme="minorHAnsi"/>
                <w:b/>
                <w:bCs/>
              </w:rPr>
            </w:pPr>
            <w:r w:rsidRPr="00105BD1">
              <w:rPr>
                <w:rFonts w:eastAsia="Times New Roman" w:cstheme="minorHAnsi"/>
                <w:b/>
                <w:bCs/>
              </w:rPr>
              <w:t>Title</w:t>
            </w:r>
          </w:p>
        </w:tc>
        <w:tc>
          <w:tcPr>
            <w:tcW w:w="1987" w:type="pct"/>
            <w:shd w:val="clear" w:color="auto" w:fill="B4C6E7" w:themeFill="accent1" w:themeFillTint="66"/>
            <w:hideMark/>
          </w:tcPr>
          <w:p w14:paraId="1CAB2436" w14:textId="77777777" w:rsidR="00484AF8" w:rsidRPr="00105BD1" w:rsidRDefault="00484AF8" w:rsidP="009114F3">
            <w:pPr>
              <w:rPr>
                <w:rFonts w:eastAsia="Times New Roman" w:cstheme="minorHAnsi"/>
                <w:b/>
                <w:bCs/>
              </w:rPr>
            </w:pPr>
            <w:r w:rsidRPr="00105BD1">
              <w:rPr>
                <w:rFonts w:eastAsia="Times New Roman" w:cstheme="minorHAnsi"/>
                <w:b/>
                <w:bCs/>
              </w:rPr>
              <w:t>Description</w:t>
            </w:r>
          </w:p>
        </w:tc>
        <w:tc>
          <w:tcPr>
            <w:tcW w:w="1083" w:type="pct"/>
            <w:gridSpan w:val="3"/>
            <w:shd w:val="clear" w:color="auto" w:fill="B4C6E7" w:themeFill="accent1" w:themeFillTint="66"/>
            <w:hideMark/>
          </w:tcPr>
          <w:p w14:paraId="6C98E875" w14:textId="77777777" w:rsidR="00484AF8" w:rsidRPr="00105BD1" w:rsidRDefault="00484AF8" w:rsidP="009114F3">
            <w:pPr>
              <w:rPr>
                <w:rFonts w:eastAsia="Times New Roman" w:cstheme="minorHAnsi"/>
                <w:b/>
                <w:bCs/>
              </w:rPr>
            </w:pPr>
            <w:r w:rsidRPr="00105BD1">
              <w:rPr>
                <w:rFonts w:eastAsia="Times New Roman" w:cstheme="minorHAnsi"/>
                <w:b/>
                <w:bCs/>
              </w:rPr>
              <w:t>Expert contact</w:t>
            </w:r>
          </w:p>
        </w:tc>
        <w:tc>
          <w:tcPr>
            <w:tcW w:w="1031" w:type="pct"/>
            <w:gridSpan w:val="3"/>
            <w:shd w:val="clear" w:color="auto" w:fill="B4C6E7" w:themeFill="accent1" w:themeFillTint="66"/>
            <w:hideMark/>
          </w:tcPr>
          <w:p w14:paraId="411ABD3A" w14:textId="77777777" w:rsidR="00484AF8" w:rsidRPr="00105BD1" w:rsidRDefault="00484AF8" w:rsidP="009114F3">
            <w:pPr>
              <w:rPr>
                <w:rFonts w:eastAsia="Times New Roman" w:cstheme="minorHAnsi"/>
                <w:b/>
                <w:bCs/>
              </w:rPr>
            </w:pPr>
            <w:r w:rsidRPr="00105BD1">
              <w:rPr>
                <w:rFonts w:eastAsia="Times New Roman" w:cstheme="minorHAnsi"/>
                <w:b/>
                <w:bCs/>
              </w:rPr>
              <w:t>Link</w:t>
            </w:r>
          </w:p>
        </w:tc>
      </w:tr>
      <w:tr w:rsidR="00484AF8" w:rsidRPr="00105BD1" w14:paraId="2AE7BBDF" w14:textId="77777777" w:rsidTr="00484AF8">
        <w:trPr>
          <w:gridAfter w:val="1"/>
          <w:wAfter w:w="27" w:type="pct"/>
          <w:trHeight w:val="3080"/>
        </w:trPr>
        <w:tc>
          <w:tcPr>
            <w:tcW w:w="878" w:type="pct"/>
            <w:hideMark/>
          </w:tcPr>
          <w:p w14:paraId="526799EA" w14:textId="77777777" w:rsidR="00484AF8" w:rsidRPr="00105BD1" w:rsidRDefault="00484AF8" w:rsidP="009114F3">
            <w:pPr>
              <w:rPr>
                <w:rFonts w:eastAsia="Times New Roman" w:cstheme="minorHAnsi"/>
                <w:b/>
                <w:bCs/>
              </w:rPr>
            </w:pPr>
            <w:r w:rsidRPr="00105BD1">
              <w:rPr>
                <w:rFonts w:eastAsia="Times New Roman" w:cstheme="minorHAnsi"/>
                <w:b/>
                <w:bCs/>
              </w:rPr>
              <w:t>Consumption of juiced fruit and vegetables data analytics (MT16008)</w:t>
            </w:r>
          </w:p>
        </w:tc>
        <w:tc>
          <w:tcPr>
            <w:tcW w:w="2035" w:type="pct"/>
            <w:gridSpan w:val="3"/>
            <w:hideMark/>
          </w:tcPr>
          <w:p w14:paraId="6B887761" w14:textId="77777777" w:rsidR="00484AF8" w:rsidRPr="00105BD1" w:rsidRDefault="00484AF8" w:rsidP="009114F3">
            <w:pPr>
              <w:rPr>
                <w:rFonts w:eastAsia="Times New Roman" w:cstheme="minorHAnsi"/>
              </w:rPr>
            </w:pPr>
            <w:r w:rsidRPr="00105BD1">
              <w:rPr>
                <w:rFonts w:eastAsia="Times New Roman" w:cstheme="minorHAnsi"/>
              </w:rPr>
              <w:t xml:space="preserve">This project surveyed almost 150,000 Australians to deliver insights into the fruit, </w:t>
            </w:r>
            <w:proofErr w:type="gramStart"/>
            <w:r w:rsidRPr="00105BD1">
              <w:rPr>
                <w:rFonts w:eastAsia="Times New Roman" w:cstheme="minorHAnsi"/>
              </w:rPr>
              <w:t>vegetable</w:t>
            </w:r>
            <w:proofErr w:type="gramEnd"/>
            <w:r w:rsidRPr="00105BD1">
              <w:rPr>
                <w:rFonts w:eastAsia="Times New Roman" w:cstheme="minorHAnsi"/>
              </w:rPr>
              <w:t xml:space="preserve"> and juice consumption of Australians through the CSIRO Healthy Diet Score.</w:t>
            </w:r>
            <w:r w:rsidRPr="00105BD1">
              <w:rPr>
                <w:rFonts w:eastAsia="Times New Roman" w:cstheme="minorHAnsi"/>
              </w:rPr>
              <w:br/>
            </w:r>
            <w:r w:rsidRPr="00105BD1">
              <w:rPr>
                <w:rFonts w:eastAsia="Times New Roman" w:cstheme="minorHAnsi"/>
              </w:rPr>
              <w:br/>
              <w:t>An analysis of the survey data allowed investigators to find…</w:t>
            </w:r>
            <w:r w:rsidRPr="00105BD1">
              <w:rPr>
                <w:rFonts w:eastAsia="Times New Roman" w:cstheme="minorHAnsi"/>
              </w:rPr>
              <w:br/>
            </w:r>
            <w:r w:rsidRPr="00105BD1">
              <w:rPr>
                <w:rFonts w:eastAsia="Times New Roman" w:cstheme="minorHAnsi"/>
              </w:rPr>
              <w:br/>
              <w:t>The proportion of respondents who meet the fruit and vegetable consumption guidelines</w:t>
            </w:r>
            <w:r w:rsidRPr="00105BD1">
              <w:rPr>
                <w:rFonts w:eastAsia="Times New Roman" w:cstheme="minorHAnsi"/>
              </w:rPr>
              <w:br/>
              <w:t>How much variety they consumed</w:t>
            </w:r>
            <w:r w:rsidRPr="00105BD1">
              <w:rPr>
                <w:rFonts w:eastAsia="Times New Roman" w:cstheme="minorHAnsi"/>
              </w:rPr>
              <w:br/>
              <w:t>How various segments of the population differ</w:t>
            </w:r>
            <w:r w:rsidRPr="00105BD1">
              <w:rPr>
                <w:rFonts w:eastAsia="Times New Roman" w:cstheme="minorHAnsi"/>
              </w:rPr>
              <w:br/>
              <w:t>The importance of fruit and vegetable intake on overall Diet Score.</w:t>
            </w:r>
          </w:p>
        </w:tc>
        <w:tc>
          <w:tcPr>
            <w:tcW w:w="1085" w:type="pct"/>
            <w:gridSpan w:val="3"/>
            <w:hideMark/>
          </w:tcPr>
          <w:p w14:paraId="6D58A81E" w14:textId="77777777" w:rsidR="00484AF8" w:rsidRPr="00105BD1" w:rsidRDefault="00484AF8" w:rsidP="009114F3">
            <w:pPr>
              <w:rPr>
                <w:rFonts w:eastAsia="Times New Roman" w:cstheme="minorHAnsi"/>
              </w:rPr>
            </w:pPr>
            <w:r w:rsidRPr="00105BD1">
              <w:rPr>
                <w:rFonts w:eastAsia="Times New Roman" w:cstheme="minorHAnsi"/>
              </w:rPr>
              <w:t>CSIRO</w:t>
            </w:r>
            <w:r w:rsidRPr="00105BD1">
              <w:rPr>
                <w:rFonts w:eastAsia="Times New Roman" w:cstheme="minorHAnsi"/>
              </w:rPr>
              <w:br/>
              <w:t>1300 363 400</w:t>
            </w:r>
          </w:p>
        </w:tc>
        <w:tc>
          <w:tcPr>
            <w:tcW w:w="975" w:type="pct"/>
            <w:hideMark/>
          </w:tcPr>
          <w:p w14:paraId="7D3665AE" w14:textId="77777777" w:rsidR="00484AF8" w:rsidRPr="00105BD1" w:rsidRDefault="00484AF8" w:rsidP="009114F3">
            <w:pPr>
              <w:rPr>
                <w:rFonts w:eastAsia="Times New Roman" w:cstheme="minorHAnsi"/>
                <w:color w:val="0000FF"/>
                <w:u w:val="single"/>
              </w:rPr>
            </w:pPr>
            <w:hyperlink r:id="rId12" w:history="1">
              <w:r w:rsidRPr="00105BD1">
                <w:rPr>
                  <w:rFonts w:eastAsia="Times New Roman" w:cstheme="minorHAnsi"/>
                  <w:color w:val="0000FF"/>
                  <w:u w:val="single"/>
                </w:rPr>
                <w:t>https://www.horticulture.com.au/growers/help-your-business-grow/research-reports-publications-fact-sheets-and-more/mt16008/</w:t>
              </w:r>
            </w:hyperlink>
          </w:p>
        </w:tc>
      </w:tr>
      <w:tr w:rsidR="00484AF8" w:rsidRPr="00105BD1" w14:paraId="0B53DDB0" w14:textId="77777777" w:rsidTr="00484AF8">
        <w:trPr>
          <w:gridAfter w:val="1"/>
          <w:wAfter w:w="27" w:type="pct"/>
          <w:trHeight w:val="3080"/>
        </w:trPr>
        <w:tc>
          <w:tcPr>
            <w:tcW w:w="878" w:type="pct"/>
          </w:tcPr>
          <w:p w14:paraId="1163260F" w14:textId="41EC43DC" w:rsidR="00484AF8" w:rsidRPr="00105BD1" w:rsidRDefault="00484AF8" w:rsidP="00484AF8">
            <w:pPr>
              <w:rPr>
                <w:rFonts w:eastAsia="Times New Roman" w:cstheme="minorHAnsi"/>
                <w:b/>
                <w:bCs/>
              </w:rPr>
            </w:pPr>
            <w:r w:rsidRPr="00105BD1">
              <w:rPr>
                <w:rFonts w:eastAsia="Times New Roman" w:cstheme="minorHAnsi"/>
                <w:b/>
                <w:bCs/>
              </w:rPr>
              <w:t>Nutrition claims for The Good Mood Food educational website (ST19037)</w:t>
            </w:r>
          </w:p>
        </w:tc>
        <w:tc>
          <w:tcPr>
            <w:tcW w:w="2035" w:type="pct"/>
            <w:gridSpan w:val="3"/>
          </w:tcPr>
          <w:p w14:paraId="23B7BD08" w14:textId="1FF42192" w:rsidR="00484AF8" w:rsidRPr="00105BD1" w:rsidRDefault="00484AF8" w:rsidP="00484AF8">
            <w:pPr>
              <w:rPr>
                <w:rFonts w:eastAsia="Times New Roman" w:cstheme="minorHAnsi"/>
              </w:rPr>
            </w:pPr>
            <w:r w:rsidRPr="00105BD1">
              <w:rPr>
                <w:rFonts w:eastAsia="Times New Roman" w:cstheme="minorHAnsi"/>
              </w:rPr>
              <w:t>In 2020, Hort Innovation developed The Good Mood Food campaign to deliver an immediate and enduring behaviour-change message to motivate more Australians to eat more fruit, veg and nuts, both during and beyond the COVID-19 pandemic. It’s a direct-to-consumer marketing initiative playing out across the country using a range of channels, including TV, newspapers, radio, online, social media and retail partnerships.</w:t>
            </w:r>
          </w:p>
        </w:tc>
        <w:tc>
          <w:tcPr>
            <w:tcW w:w="1085" w:type="pct"/>
            <w:gridSpan w:val="3"/>
          </w:tcPr>
          <w:p w14:paraId="5ADB9C7E" w14:textId="73B89EED" w:rsidR="00484AF8" w:rsidRPr="00105BD1" w:rsidRDefault="00484AF8" w:rsidP="00484AF8">
            <w:pPr>
              <w:rPr>
                <w:rFonts w:eastAsia="Times New Roman" w:cstheme="minorHAnsi"/>
              </w:rPr>
            </w:pPr>
            <w:r w:rsidRPr="00105BD1">
              <w:rPr>
                <w:rFonts w:eastAsia="Times New Roman" w:cstheme="minorHAnsi"/>
              </w:rPr>
              <w:t>Lisa Yates Adv APD</w:t>
            </w:r>
          </w:p>
        </w:tc>
        <w:tc>
          <w:tcPr>
            <w:tcW w:w="975" w:type="pct"/>
          </w:tcPr>
          <w:p w14:paraId="360F7DA4" w14:textId="0CB5CF7B" w:rsidR="00484AF8" w:rsidRDefault="00484AF8" w:rsidP="00484AF8">
            <w:hyperlink r:id="rId13" w:history="1">
              <w:r w:rsidRPr="00105BD1">
                <w:rPr>
                  <w:rFonts w:eastAsia="Times New Roman" w:cstheme="minorHAnsi"/>
                  <w:color w:val="0000FF"/>
                  <w:u w:val="single"/>
                </w:rPr>
                <w:t>https://www.horticulture.com.au/growers/help-your-business-grow/research-reports-publications-fact-sheets-and-more/st19037/</w:t>
              </w:r>
            </w:hyperlink>
          </w:p>
        </w:tc>
      </w:tr>
      <w:tr w:rsidR="00484AF8" w:rsidRPr="00105BD1" w14:paraId="329ADE2B" w14:textId="77777777" w:rsidTr="00484AF8">
        <w:trPr>
          <w:trHeight w:val="3080"/>
        </w:trPr>
        <w:tc>
          <w:tcPr>
            <w:tcW w:w="899" w:type="pct"/>
            <w:gridSpan w:val="2"/>
            <w:hideMark/>
          </w:tcPr>
          <w:p w14:paraId="294B87A3" w14:textId="77777777" w:rsidR="00484AF8" w:rsidRPr="00105BD1" w:rsidRDefault="00484AF8" w:rsidP="009114F3">
            <w:pPr>
              <w:rPr>
                <w:rFonts w:eastAsia="Times New Roman" w:cstheme="minorHAnsi"/>
                <w:b/>
                <w:bCs/>
              </w:rPr>
            </w:pPr>
            <w:r w:rsidRPr="00105BD1">
              <w:rPr>
                <w:rFonts w:eastAsia="Times New Roman" w:cstheme="minorHAnsi"/>
                <w:b/>
                <w:bCs/>
              </w:rPr>
              <w:lastRenderedPageBreak/>
              <w:t>Sustainable vegetable production in Australia: What’s next?</w:t>
            </w:r>
          </w:p>
        </w:tc>
        <w:tc>
          <w:tcPr>
            <w:tcW w:w="1987" w:type="pct"/>
            <w:hideMark/>
          </w:tcPr>
          <w:p w14:paraId="519F4F35" w14:textId="77777777" w:rsidR="00484AF8" w:rsidRPr="00105BD1" w:rsidRDefault="00484AF8" w:rsidP="009114F3">
            <w:pPr>
              <w:rPr>
                <w:rFonts w:eastAsia="Times New Roman" w:cstheme="minorHAnsi"/>
              </w:rPr>
            </w:pPr>
            <w:r w:rsidRPr="00105BD1">
              <w:rPr>
                <w:rFonts w:eastAsia="Times New Roman" w:cstheme="minorHAnsi"/>
              </w:rPr>
              <w:t xml:space="preserve">An increased awareness of the impact of some long-standing farming practices and community expectations, combined with a greater interest and understanding of alternative systems and products has contributed to the evolution of sustainable vegetable production in Australia. </w:t>
            </w:r>
          </w:p>
        </w:tc>
        <w:tc>
          <w:tcPr>
            <w:tcW w:w="1083" w:type="pct"/>
            <w:gridSpan w:val="3"/>
            <w:hideMark/>
          </w:tcPr>
          <w:p w14:paraId="67AE79AC" w14:textId="77777777" w:rsidR="00484AF8" w:rsidRPr="00105BD1" w:rsidRDefault="00484AF8" w:rsidP="009114F3">
            <w:pPr>
              <w:rPr>
                <w:rFonts w:eastAsia="Times New Roman" w:cstheme="minorHAnsi"/>
                <w:color w:val="0000FF"/>
                <w:u w:val="single"/>
              </w:rPr>
            </w:pPr>
            <w:hyperlink r:id="rId14" w:history="1">
              <w:r w:rsidRPr="00105BD1">
                <w:rPr>
                  <w:rFonts w:eastAsia="Times New Roman" w:cstheme="minorHAnsi"/>
                  <w:color w:val="0000FF"/>
                  <w:u w:val="single"/>
                </w:rPr>
                <w:t>Gordon Rogers, AHR on (02) 9527 0826 or  gordon@ahr.com.au</w:t>
              </w:r>
              <w:r w:rsidRPr="00105BD1">
                <w:rPr>
                  <w:rFonts w:eastAsia="Times New Roman" w:cstheme="minorHAnsi"/>
                  <w:color w:val="0000FF"/>
                  <w:u w:val="single"/>
                </w:rPr>
                <w:br/>
                <w:t>Anne-Maree Boland, RMCG on (03) 9882 2670 or  anne-mareeb@rmcg.com.au</w:t>
              </w:r>
            </w:hyperlink>
          </w:p>
        </w:tc>
        <w:tc>
          <w:tcPr>
            <w:tcW w:w="1031" w:type="pct"/>
            <w:gridSpan w:val="3"/>
            <w:hideMark/>
          </w:tcPr>
          <w:p w14:paraId="2B7E9806" w14:textId="77777777" w:rsidR="00484AF8" w:rsidRPr="00105BD1" w:rsidRDefault="00484AF8" w:rsidP="009114F3">
            <w:pPr>
              <w:rPr>
                <w:rFonts w:eastAsia="Times New Roman" w:cstheme="minorHAnsi"/>
                <w:color w:val="0000FF"/>
                <w:u w:val="single"/>
              </w:rPr>
            </w:pPr>
            <w:hyperlink r:id="rId15" w:history="1">
              <w:r w:rsidRPr="00105BD1">
                <w:rPr>
                  <w:rFonts w:eastAsia="Times New Roman" w:cstheme="minorHAnsi"/>
                  <w:color w:val="0000FF"/>
                  <w:u w:val="single"/>
                </w:rPr>
                <w:t>https://www.soilwealth.com.au/resources/articles-and-publications/sustainable-vegetable-production-in-australia-whats-next/</w:t>
              </w:r>
            </w:hyperlink>
          </w:p>
        </w:tc>
      </w:tr>
      <w:tr w:rsidR="00484AF8" w:rsidRPr="00105BD1" w14:paraId="56C5DAB1" w14:textId="77777777" w:rsidTr="00484AF8">
        <w:trPr>
          <w:gridAfter w:val="1"/>
          <w:wAfter w:w="27" w:type="pct"/>
          <w:trHeight w:val="2800"/>
        </w:trPr>
        <w:tc>
          <w:tcPr>
            <w:tcW w:w="878" w:type="pct"/>
            <w:hideMark/>
          </w:tcPr>
          <w:p w14:paraId="714A9409" w14:textId="77777777" w:rsidR="00484AF8" w:rsidRPr="00105BD1" w:rsidRDefault="00484AF8" w:rsidP="009114F3">
            <w:pPr>
              <w:rPr>
                <w:rFonts w:eastAsia="Times New Roman" w:cstheme="minorHAnsi"/>
                <w:b/>
                <w:bCs/>
              </w:rPr>
            </w:pPr>
            <w:r w:rsidRPr="00105BD1">
              <w:rPr>
                <w:rFonts w:eastAsia="Times New Roman" w:cstheme="minorHAnsi"/>
                <w:b/>
                <w:bCs/>
              </w:rPr>
              <w:t>Educational opportunities around the perceptions and aversions to vegetables through digital media – long-form video (VG16018)</w:t>
            </w:r>
          </w:p>
        </w:tc>
        <w:tc>
          <w:tcPr>
            <w:tcW w:w="2035" w:type="pct"/>
            <w:gridSpan w:val="3"/>
            <w:hideMark/>
          </w:tcPr>
          <w:p w14:paraId="551E1D65" w14:textId="77777777" w:rsidR="00484AF8" w:rsidRPr="00105BD1" w:rsidRDefault="00484AF8" w:rsidP="009114F3">
            <w:pPr>
              <w:rPr>
                <w:rFonts w:eastAsia="Times New Roman" w:cstheme="minorHAnsi"/>
              </w:rPr>
            </w:pPr>
            <w:r w:rsidRPr="00105BD1">
              <w:rPr>
                <w:rFonts w:eastAsia="Times New Roman" w:cstheme="minorHAnsi"/>
              </w:rPr>
              <w:t xml:space="preserve">This investment is a continuation of the original VG16018 project, which developed and delivered the </w:t>
            </w:r>
            <w:proofErr w:type="spellStart"/>
            <w:r w:rsidRPr="00105BD1">
              <w:rPr>
                <w:rFonts w:eastAsia="Times New Roman" w:cstheme="minorHAnsi"/>
              </w:rPr>
              <w:t>Phenomenom</w:t>
            </w:r>
            <w:proofErr w:type="spellEnd"/>
            <w:r w:rsidRPr="00105BD1">
              <w:rPr>
                <w:rFonts w:eastAsia="Times New Roman" w:cstheme="minorHAnsi"/>
              </w:rPr>
              <w:t xml:space="preserve"> web series and related resources for increasing kids’ education around and attitudes towards vegetables – check out phenomenom.com.au. It will allow </w:t>
            </w:r>
            <w:proofErr w:type="gramStart"/>
            <w:r w:rsidRPr="00105BD1">
              <w:rPr>
                <w:rFonts w:eastAsia="Times New Roman" w:cstheme="minorHAnsi"/>
              </w:rPr>
              <w:t>for the production of</w:t>
            </w:r>
            <w:proofErr w:type="gramEnd"/>
            <w:r w:rsidRPr="00105BD1">
              <w:rPr>
                <w:rFonts w:eastAsia="Times New Roman" w:cstheme="minorHAnsi"/>
              </w:rPr>
              <w:t xml:space="preserve"> a second long-form, summary video based on the existing content, for inclusion in Qantas’s in-flight entertainment offerings between March and August 2019. An initial long-form video began screening in September 2018 as part of the previous investment, yielding a large </w:t>
            </w:r>
            <w:proofErr w:type="gramStart"/>
            <w:r w:rsidRPr="00105BD1">
              <w:rPr>
                <w:rFonts w:eastAsia="Times New Roman" w:cstheme="minorHAnsi"/>
              </w:rPr>
              <w:t>number</w:t>
            </w:r>
            <w:proofErr w:type="gramEnd"/>
            <w:r w:rsidRPr="00105BD1">
              <w:rPr>
                <w:rFonts w:eastAsia="Times New Roman" w:cstheme="minorHAnsi"/>
              </w:rPr>
              <w:t xml:space="preserve"> views and a high retention rate of the vegetable education messaging among children.</w:t>
            </w:r>
          </w:p>
        </w:tc>
        <w:tc>
          <w:tcPr>
            <w:tcW w:w="1004" w:type="pct"/>
            <w:hideMark/>
          </w:tcPr>
          <w:p w14:paraId="7F5A9CE8" w14:textId="77777777" w:rsidR="00484AF8" w:rsidRPr="00105BD1" w:rsidRDefault="00484AF8" w:rsidP="009114F3">
            <w:pPr>
              <w:rPr>
                <w:rFonts w:eastAsia="Times New Roman" w:cstheme="minorHAnsi"/>
              </w:rPr>
            </w:pPr>
            <w:r w:rsidRPr="00105BD1">
              <w:rPr>
                <w:rFonts w:eastAsia="Times New Roman" w:cstheme="minorHAnsi"/>
              </w:rPr>
              <w:t xml:space="preserve">Alice </w:t>
            </w:r>
            <w:proofErr w:type="spellStart"/>
            <w:r w:rsidRPr="00105BD1">
              <w:rPr>
                <w:rFonts w:eastAsia="Times New Roman" w:cstheme="minorHAnsi"/>
              </w:rPr>
              <w:t>Zaslavsky</w:t>
            </w:r>
            <w:proofErr w:type="spellEnd"/>
            <w:r w:rsidRPr="00105BD1">
              <w:rPr>
                <w:rFonts w:eastAsia="Times New Roman" w:cstheme="minorHAnsi"/>
              </w:rPr>
              <w:br/>
              <w:t>squeak@aliceinframes.com</w:t>
            </w:r>
          </w:p>
        </w:tc>
        <w:tc>
          <w:tcPr>
            <w:tcW w:w="1056" w:type="pct"/>
            <w:gridSpan w:val="3"/>
            <w:hideMark/>
          </w:tcPr>
          <w:p w14:paraId="52425BBA" w14:textId="77777777" w:rsidR="00484AF8" w:rsidRPr="00105BD1" w:rsidRDefault="00484AF8" w:rsidP="009114F3">
            <w:pPr>
              <w:rPr>
                <w:rFonts w:eastAsia="Times New Roman" w:cstheme="minorHAnsi"/>
                <w:color w:val="0000FF"/>
                <w:u w:val="single"/>
              </w:rPr>
            </w:pPr>
            <w:hyperlink r:id="rId16" w:history="1">
              <w:r w:rsidRPr="00105BD1">
                <w:rPr>
                  <w:rFonts w:eastAsia="Times New Roman" w:cstheme="minorHAnsi"/>
                  <w:color w:val="0000FF"/>
                  <w:u w:val="single"/>
                </w:rPr>
                <w:t>https://www.horticulture.com.au/growers/help-your-business-grow/research-reports-publications-fact-sheets-and-more/vg16018a/</w:t>
              </w:r>
            </w:hyperlink>
          </w:p>
        </w:tc>
      </w:tr>
      <w:tr w:rsidR="00484AF8" w:rsidRPr="00105BD1" w14:paraId="41BFC946" w14:textId="77777777" w:rsidTr="00484AF8">
        <w:trPr>
          <w:gridAfter w:val="1"/>
          <w:wAfter w:w="27" w:type="pct"/>
          <w:trHeight w:val="1960"/>
        </w:trPr>
        <w:tc>
          <w:tcPr>
            <w:tcW w:w="878" w:type="pct"/>
            <w:hideMark/>
          </w:tcPr>
          <w:p w14:paraId="7F639642" w14:textId="77777777" w:rsidR="00484AF8" w:rsidRPr="00105BD1" w:rsidRDefault="00484AF8" w:rsidP="009114F3">
            <w:pPr>
              <w:rPr>
                <w:rFonts w:eastAsia="Times New Roman" w:cstheme="minorHAnsi"/>
                <w:b/>
                <w:bCs/>
              </w:rPr>
            </w:pPr>
            <w:r w:rsidRPr="00105BD1">
              <w:rPr>
                <w:rFonts w:eastAsia="Times New Roman" w:cstheme="minorHAnsi"/>
                <w:b/>
                <w:bCs/>
              </w:rPr>
              <w:t xml:space="preserve">Understanding the nature, origins, </w:t>
            </w:r>
            <w:proofErr w:type="gramStart"/>
            <w:r w:rsidRPr="00105BD1">
              <w:rPr>
                <w:rFonts w:eastAsia="Times New Roman" w:cstheme="minorHAnsi"/>
                <w:b/>
                <w:bCs/>
              </w:rPr>
              <w:t>volume</w:t>
            </w:r>
            <w:proofErr w:type="gramEnd"/>
            <w:r w:rsidRPr="00105BD1">
              <w:rPr>
                <w:rFonts w:eastAsia="Times New Roman" w:cstheme="minorHAnsi"/>
                <w:b/>
                <w:bCs/>
              </w:rPr>
              <w:t xml:space="preserve"> and values of vegetable imports (VG12083)</w:t>
            </w:r>
          </w:p>
        </w:tc>
        <w:tc>
          <w:tcPr>
            <w:tcW w:w="2035" w:type="pct"/>
            <w:gridSpan w:val="3"/>
            <w:hideMark/>
          </w:tcPr>
          <w:p w14:paraId="2A8859A4" w14:textId="77777777" w:rsidR="00484AF8" w:rsidRPr="00105BD1" w:rsidRDefault="00484AF8" w:rsidP="009114F3">
            <w:pPr>
              <w:rPr>
                <w:rFonts w:eastAsia="Times New Roman" w:cstheme="minorHAnsi"/>
              </w:rPr>
            </w:pPr>
            <w:r w:rsidRPr="00105BD1">
              <w:rPr>
                <w:rFonts w:eastAsia="Times New Roman" w:cstheme="minorHAnsi"/>
              </w:rPr>
              <w:t xml:space="preserve">This investment was established to help vegetable growers and the industry at large understand the nature, origin, </w:t>
            </w:r>
            <w:proofErr w:type="gramStart"/>
            <w:r w:rsidRPr="00105BD1">
              <w:rPr>
                <w:rFonts w:eastAsia="Times New Roman" w:cstheme="minorHAnsi"/>
              </w:rPr>
              <w:t>volume</w:t>
            </w:r>
            <w:proofErr w:type="gramEnd"/>
            <w:r w:rsidRPr="00105BD1">
              <w:rPr>
                <w:rFonts w:eastAsia="Times New Roman" w:cstheme="minorHAnsi"/>
              </w:rPr>
              <w:t xml:space="preserve"> and value of vegetable imports coming into Australia. In its course, it examined data from a range of sources and produced annual summaries, with fact sheets detailing top imported vegetable products.</w:t>
            </w:r>
          </w:p>
        </w:tc>
        <w:tc>
          <w:tcPr>
            <w:tcW w:w="1004" w:type="pct"/>
            <w:hideMark/>
          </w:tcPr>
          <w:p w14:paraId="4BE39F33" w14:textId="77777777" w:rsidR="00484AF8" w:rsidRPr="00105BD1" w:rsidRDefault="00484AF8" w:rsidP="009114F3">
            <w:pPr>
              <w:rPr>
                <w:rFonts w:eastAsia="Times New Roman" w:cstheme="minorHAnsi"/>
              </w:rPr>
            </w:pPr>
            <w:r w:rsidRPr="00105BD1">
              <w:rPr>
                <w:rFonts w:eastAsia="Times New Roman" w:cstheme="minorHAnsi"/>
              </w:rPr>
              <w:t>None</w:t>
            </w:r>
          </w:p>
        </w:tc>
        <w:tc>
          <w:tcPr>
            <w:tcW w:w="1056" w:type="pct"/>
            <w:gridSpan w:val="3"/>
            <w:hideMark/>
          </w:tcPr>
          <w:p w14:paraId="765F5153" w14:textId="77777777" w:rsidR="00484AF8" w:rsidRPr="00105BD1" w:rsidRDefault="00484AF8" w:rsidP="009114F3">
            <w:pPr>
              <w:rPr>
                <w:rFonts w:eastAsia="Times New Roman" w:cstheme="minorHAnsi"/>
                <w:color w:val="0000FF"/>
                <w:u w:val="single"/>
              </w:rPr>
            </w:pPr>
            <w:hyperlink r:id="rId17" w:history="1">
              <w:r w:rsidRPr="00105BD1">
                <w:rPr>
                  <w:rFonts w:eastAsia="Times New Roman" w:cstheme="minorHAnsi"/>
                  <w:color w:val="0000FF"/>
                  <w:u w:val="single"/>
                </w:rPr>
                <w:t>https://www.horticulture.com.au/growers/help-your-business-grow/research-reports-publications-fact-sheets-and-more/vg12083/</w:t>
              </w:r>
            </w:hyperlink>
          </w:p>
        </w:tc>
      </w:tr>
      <w:tr w:rsidR="00484AF8" w:rsidRPr="00105BD1" w14:paraId="4984567A" w14:textId="77777777" w:rsidTr="00484AF8">
        <w:trPr>
          <w:gridAfter w:val="1"/>
          <w:wAfter w:w="27" w:type="pct"/>
          <w:trHeight w:val="2800"/>
        </w:trPr>
        <w:tc>
          <w:tcPr>
            <w:tcW w:w="878" w:type="pct"/>
            <w:hideMark/>
          </w:tcPr>
          <w:p w14:paraId="75996076" w14:textId="77777777" w:rsidR="00484AF8" w:rsidRPr="00105BD1" w:rsidRDefault="00484AF8" w:rsidP="009114F3">
            <w:pPr>
              <w:rPr>
                <w:rFonts w:eastAsia="Times New Roman" w:cstheme="minorHAnsi"/>
                <w:b/>
                <w:bCs/>
              </w:rPr>
            </w:pPr>
            <w:r w:rsidRPr="00105BD1">
              <w:rPr>
                <w:rFonts w:eastAsia="Times New Roman" w:cstheme="minorHAnsi"/>
                <w:b/>
                <w:bCs/>
              </w:rPr>
              <w:t>Understanding consumer triggers and barriers to consumption of Australian indigenous vegetables and Asian vegetables (VG15071)</w:t>
            </w:r>
          </w:p>
        </w:tc>
        <w:tc>
          <w:tcPr>
            <w:tcW w:w="2035" w:type="pct"/>
            <w:gridSpan w:val="3"/>
            <w:hideMark/>
          </w:tcPr>
          <w:p w14:paraId="18168D80" w14:textId="77777777" w:rsidR="00484AF8" w:rsidRPr="00105BD1" w:rsidRDefault="00484AF8" w:rsidP="009114F3">
            <w:pPr>
              <w:rPr>
                <w:rFonts w:eastAsia="Times New Roman" w:cstheme="minorHAnsi"/>
              </w:rPr>
            </w:pPr>
            <w:r w:rsidRPr="00105BD1">
              <w:rPr>
                <w:rFonts w:eastAsia="Times New Roman" w:cstheme="minorHAnsi"/>
              </w:rPr>
              <w:t>This project was tasked with identifying commercially viable Australian indigenous vegetables and Asian vegetables; assessing their consumer appeal through a range of consumer interactions, including sensory testing; and providing recommendations for industry to ensure the greatest likelihood of success in the market.</w:t>
            </w:r>
          </w:p>
        </w:tc>
        <w:tc>
          <w:tcPr>
            <w:tcW w:w="1004" w:type="pct"/>
            <w:hideMark/>
          </w:tcPr>
          <w:p w14:paraId="343F1A14" w14:textId="77777777" w:rsidR="00484AF8" w:rsidRPr="00105BD1" w:rsidRDefault="00484AF8" w:rsidP="009114F3">
            <w:pPr>
              <w:rPr>
                <w:rFonts w:eastAsia="Times New Roman" w:cstheme="minorHAnsi"/>
              </w:rPr>
            </w:pPr>
            <w:r w:rsidRPr="00105BD1">
              <w:rPr>
                <w:rFonts w:eastAsia="Times New Roman" w:cstheme="minorHAnsi"/>
              </w:rPr>
              <w:t xml:space="preserve">Luke </w:t>
            </w:r>
            <w:proofErr w:type="spellStart"/>
            <w:r w:rsidRPr="00105BD1">
              <w:rPr>
                <w:rFonts w:eastAsia="Times New Roman" w:cstheme="minorHAnsi"/>
              </w:rPr>
              <w:t>Rolley</w:t>
            </w:r>
            <w:proofErr w:type="spellEnd"/>
            <w:r w:rsidRPr="00105BD1">
              <w:rPr>
                <w:rFonts w:eastAsia="Times New Roman" w:cstheme="minorHAnsi"/>
              </w:rPr>
              <w:br/>
              <w:t>Telephone: (02) 8295 2300</w:t>
            </w:r>
          </w:p>
        </w:tc>
        <w:tc>
          <w:tcPr>
            <w:tcW w:w="1056" w:type="pct"/>
            <w:gridSpan w:val="3"/>
            <w:hideMark/>
          </w:tcPr>
          <w:p w14:paraId="73D83C0B" w14:textId="77777777" w:rsidR="00484AF8" w:rsidRPr="00105BD1" w:rsidRDefault="00484AF8" w:rsidP="009114F3">
            <w:pPr>
              <w:rPr>
                <w:rFonts w:eastAsia="Times New Roman" w:cstheme="minorHAnsi"/>
                <w:color w:val="0000FF"/>
                <w:u w:val="single"/>
              </w:rPr>
            </w:pPr>
            <w:hyperlink r:id="rId18" w:history="1">
              <w:r w:rsidRPr="00105BD1">
                <w:rPr>
                  <w:rFonts w:eastAsia="Times New Roman" w:cstheme="minorHAnsi"/>
                  <w:color w:val="0000FF"/>
                  <w:u w:val="single"/>
                </w:rPr>
                <w:t>https://www.horticulture.com.au/growers/help-your-business-grow/research-reports-publications-fact-sheets-and-more/vg15071/</w:t>
              </w:r>
            </w:hyperlink>
          </w:p>
        </w:tc>
      </w:tr>
      <w:tr w:rsidR="00484AF8" w:rsidRPr="00105BD1" w14:paraId="2555465B" w14:textId="77777777" w:rsidTr="00484AF8">
        <w:trPr>
          <w:gridAfter w:val="1"/>
          <w:wAfter w:w="27" w:type="pct"/>
          <w:trHeight w:val="1400"/>
        </w:trPr>
        <w:tc>
          <w:tcPr>
            <w:tcW w:w="878" w:type="pct"/>
            <w:hideMark/>
          </w:tcPr>
          <w:p w14:paraId="74F6501F" w14:textId="77777777" w:rsidR="00484AF8" w:rsidRPr="00105BD1" w:rsidRDefault="00484AF8" w:rsidP="009114F3">
            <w:pPr>
              <w:rPr>
                <w:rFonts w:eastAsia="Times New Roman" w:cstheme="minorHAnsi"/>
                <w:b/>
                <w:bCs/>
              </w:rPr>
            </w:pPr>
            <w:r w:rsidRPr="00105BD1">
              <w:rPr>
                <w:rFonts w:eastAsia="Times New Roman" w:cstheme="minorHAnsi"/>
                <w:b/>
                <w:bCs/>
              </w:rPr>
              <w:lastRenderedPageBreak/>
              <w:t>Vegetable data generation investments</w:t>
            </w:r>
          </w:p>
        </w:tc>
        <w:tc>
          <w:tcPr>
            <w:tcW w:w="2035" w:type="pct"/>
            <w:gridSpan w:val="3"/>
            <w:hideMark/>
          </w:tcPr>
          <w:p w14:paraId="286CB23E" w14:textId="77777777" w:rsidR="00484AF8" w:rsidRPr="00105BD1" w:rsidRDefault="00484AF8" w:rsidP="009114F3">
            <w:pPr>
              <w:rPr>
                <w:rFonts w:eastAsia="Times New Roman" w:cstheme="minorHAnsi"/>
              </w:rPr>
            </w:pPr>
            <w:r w:rsidRPr="00105BD1">
              <w:rPr>
                <w:rFonts w:eastAsia="Times New Roman" w:cstheme="minorHAnsi"/>
              </w:rPr>
              <w:t xml:space="preserve">The generation of pesticide residue, efficacy and crop safety data is required to support label registration and minor use permit applications made to the Australian Pesticides and Veterinary Medicines Authority (APVMA) which, when approved, provide access to safe and effective chemicals for the management of pests, </w:t>
            </w:r>
            <w:proofErr w:type="gramStart"/>
            <w:r w:rsidRPr="00105BD1">
              <w:rPr>
                <w:rFonts w:eastAsia="Times New Roman" w:cstheme="minorHAnsi"/>
              </w:rPr>
              <w:t>weeds</w:t>
            </w:r>
            <w:proofErr w:type="gramEnd"/>
            <w:r w:rsidRPr="00105BD1">
              <w:rPr>
                <w:rFonts w:eastAsia="Times New Roman" w:cstheme="minorHAnsi"/>
              </w:rPr>
              <w:t xml:space="preserve"> and diseases.</w:t>
            </w:r>
          </w:p>
        </w:tc>
        <w:tc>
          <w:tcPr>
            <w:tcW w:w="1004" w:type="pct"/>
            <w:hideMark/>
          </w:tcPr>
          <w:p w14:paraId="6CFECD76" w14:textId="77777777" w:rsidR="00484AF8" w:rsidRPr="00105BD1" w:rsidRDefault="00484AF8" w:rsidP="009114F3">
            <w:pPr>
              <w:rPr>
                <w:rFonts w:eastAsia="Times New Roman" w:cstheme="minorHAnsi"/>
              </w:rPr>
            </w:pPr>
            <w:r w:rsidRPr="00105BD1">
              <w:rPr>
                <w:rFonts w:eastAsia="Times New Roman" w:cstheme="minorHAnsi"/>
              </w:rPr>
              <w:t>Hort innovation</w:t>
            </w:r>
          </w:p>
        </w:tc>
        <w:tc>
          <w:tcPr>
            <w:tcW w:w="1056" w:type="pct"/>
            <w:gridSpan w:val="3"/>
            <w:hideMark/>
          </w:tcPr>
          <w:p w14:paraId="061D1903" w14:textId="77777777" w:rsidR="00484AF8" w:rsidRPr="00105BD1" w:rsidRDefault="00484AF8" w:rsidP="009114F3">
            <w:pPr>
              <w:rPr>
                <w:rFonts w:eastAsia="Times New Roman" w:cstheme="minorHAnsi"/>
                <w:color w:val="0000FF"/>
                <w:u w:val="single"/>
              </w:rPr>
            </w:pPr>
            <w:hyperlink r:id="rId19" w:history="1">
              <w:r w:rsidRPr="00105BD1">
                <w:rPr>
                  <w:rFonts w:eastAsia="Times New Roman" w:cstheme="minorHAnsi"/>
                  <w:color w:val="0000FF"/>
                  <w:u w:val="single"/>
                </w:rPr>
                <w:t>https://www.horticulture.com.au/growers/help-your-business-grow/research-reports-publications-fact-sheets-and-more/vegetable-data-generation-investments/</w:t>
              </w:r>
            </w:hyperlink>
          </w:p>
        </w:tc>
      </w:tr>
      <w:tr w:rsidR="00484AF8" w:rsidRPr="00105BD1" w14:paraId="01E905B6" w14:textId="77777777" w:rsidTr="00484AF8">
        <w:trPr>
          <w:trHeight w:val="2240"/>
        </w:trPr>
        <w:tc>
          <w:tcPr>
            <w:tcW w:w="899" w:type="pct"/>
            <w:gridSpan w:val="2"/>
            <w:hideMark/>
          </w:tcPr>
          <w:p w14:paraId="35B04594" w14:textId="77777777" w:rsidR="00484AF8" w:rsidRPr="00105BD1" w:rsidRDefault="00484AF8" w:rsidP="009114F3">
            <w:pPr>
              <w:rPr>
                <w:rFonts w:eastAsia="Times New Roman" w:cstheme="minorHAnsi"/>
                <w:b/>
                <w:bCs/>
              </w:rPr>
            </w:pPr>
            <w:r w:rsidRPr="00105BD1">
              <w:rPr>
                <w:rFonts w:eastAsia="Times New Roman" w:cstheme="minorHAnsi"/>
                <w:b/>
                <w:bCs/>
              </w:rPr>
              <w:t>Vegetable cluster consumer insights program (MT17017)</w:t>
            </w:r>
          </w:p>
        </w:tc>
        <w:tc>
          <w:tcPr>
            <w:tcW w:w="1987" w:type="pct"/>
            <w:hideMark/>
          </w:tcPr>
          <w:p w14:paraId="4669FDA1" w14:textId="77777777" w:rsidR="00484AF8" w:rsidRPr="00105BD1" w:rsidRDefault="00484AF8" w:rsidP="009114F3">
            <w:pPr>
              <w:rPr>
                <w:rFonts w:eastAsia="Times New Roman" w:cstheme="minorHAnsi"/>
              </w:rPr>
            </w:pPr>
            <w:r w:rsidRPr="00105BD1">
              <w:rPr>
                <w:rFonts w:eastAsia="Times New Roman" w:cstheme="minorHAnsi"/>
              </w:rPr>
              <w:t>This multi-industry investment is tasked with providing regular consumer behaviour data and insight reporting to a range of industries, through the Harvest to Home platform (www.harvesttohome.net.au).</w:t>
            </w:r>
          </w:p>
        </w:tc>
        <w:tc>
          <w:tcPr>
            <w:tcW w:w="1083" w:type="pct"/>
            <w:gridSpan w:val="3"/>
            <w:hideMark/>
          </w:tcPr>
          <w:p w14:paraId="6B33F289" w14:textId="77777777" w:rsidR="00484AF8" w:rsidRPr="00105BD1" w:rsidRDefault="00484AF8" w:rsidP="009114F3">
            <w:pPr>
              <w:rPr>
                <w:rFonts w:eastAsia="Times New Roman" w:cstheme="minorHAnsi"/>
                <w:color w:val="0000FF"/>
                <w:u w:val="single"/>
              </w:rPr>
            </w:pPr>
            <w:hyperlink r:id="rId20" w:history="1">
              <w:r w:rsidRPr="00105BD1">
                <w:rPr>
                  <w:rFonts w:eastAsia="Times New Roman" w:cstheme="minorHAnsi"/>
                  <w:color w:val="0000FF"/>
                  <w:u w:val="single"/>
                </w:rPr>
                <w:t>Lewis Muscat</w:t>
              </w:r>
              <w:r w:rsidRPr="00105BD1">
                <w:rPr>
                  <w:rFonts w:eastAsia="Times New Roman" w:cstheme="minorHAnsi"/>
                  <w:color w:val="0000FF"/>
                  <w:u w:val="single"/>
                </w:rPr>
                <w:br/>
                <w:t>Manager | Fresh Analytics</w:t>
              </w:r>
              <w:r w:rsidRPr="00105BD1">
                <w:rPr>
                  <w:rFonts w:eastAsia="Times New Roman" w:cstheme="minorHAnsi"/>
                  <w:color w:val="0000FF"/>
                  <w:u w:val="single"/>
                </w:rPr>
                <w:br/>
                <w:t xml:space="preserve">NielsenIQ </w:t>
              </w:r>
              <w:r w:rsidRPr="00105BD1">
                <w:rPr>
                  <w:rFonts w:eastAsia="Times New Roman" w:cstheme="minorHAnsi"/>
                  <w:color w:val="0000FF"/>
                  <w:u w:val="single"/>
                </w:rPr>
                <w:br/>
                <w:t>lewis.muscat@nielseniq.com</w:t>
              </w:r>
              <w:r w:rsidRPr="00105BD1">
                <w:rPr>
                  <w:rFonts w:eastAsia="Times New Roman" w:cstheme="minorHAnsi"/>
                  <w:color w:val="0000FF"/>
                  <w:u w:val="single"/>
                </w:rPr>
                <w:br/>
                <w:t>Phone: +61 410 420 603</w:t>
              </w:r>
            </w:hyperlink>
          </w:p>
        </w:tc>
        <w:tc>
          <w:tcPr>
            <w:tcW w:w="1031" w:type="pct"/>
            <w:gridSpan w:val="3"/>
            <w:hideMark/>
          </w:tcPr>
          <w:p w14:paraId="42EC64EF" w14:textId="77777777" w:rsidR="00484AF8" w:rsidRPr="00105BD1" w:rsidRDefault="00484AF8" w:rsidP="009114F3">
            <w:pPr>
              <w:rPr>
                <w:rFonts w:eastAsia="Times New Roman" w:cstheme="minorHAnsi"/>
                <w:color w:val="0000FF"/>
                <w:u w:val="single"/>
              </w:rPr>
            </w:pPr>
            <w:hyperlink r:id="rId21" w:history="1">
              <w:r w:rsidRPr="00105BD1">
                <w:rPr>
                  <w:rFonts w:eastAsia="Times New Roman" w:cstheme="minorHAnsi"/>
                  <w:color w:val="0000FF"/>
                  <w:u w:val="single"/>
                </w:rPr>
                <w:t>https://www.horticulture.com.au/growers/help-your-business-grow/research-reports-publications-fact-sheets-and-more/mt17017c/</w:t>
              </w:r>
            </w:hyperlink>
          </w:p>
        </w:tc>
      </w:tr>
      <w:tr w:rsidR="00484AF8" w:rsidRPr="00105BD1" w14:paraId="529E1E07" w14:textId="77777777" w:rsidTr="00484AF8">
        <w:trPr>
          <w:trHeight w:val="2240"/>
        </w:trPr>
        <w:tc>
          <w:tcPr>
            <w:tcW w:w="899" w:type="pct"/>
            <w:gridSpan w:val="2"/>
            <w:hideMark/>
          </w:tcPr>
          <w:p w14:paraId="638CC545" w14:textId="77777777" w:rsidR="00484AF8" w:rsidRPr="00105BD1" w:rsidRDefault="00484AF8" w:rsidP="009114F3">
            <w:pPr>
              <w:rPr>
                <w:rFonts w:eastAsia="Times New Roman" w:cstheme="minorHAnsi"/>
                <w:b/>
                <w:bCs/>
              </w:rPr>
            </w:pPr>
            <w:r w:rsidRPr="00105BD1">
              <w:rPr>
                <w:rFonts w:eastAsia="Times New Roman" w:cstheme="minorHAnsi"/>
                <w:b/>
                <w:bCs/>
              </w:rPr>
              <w:t>Category and Consumer Impact Monitor (ST19031)</w:t>
            </w:r>
          </w:p>
        </w:tc>
        <w:tc>
          <w:tcPr>
            <w:tcW w:w="1987" w:type="pct"/>
            <w:hideMark/>
          </w:tcPr>
          <w:p w14:paraId="2A78E414" w14:textId="77777777" w:rsidR="00484AF8" w:rsidRPr="00105BD1" w:rsidRDefault="00484AF8" w:rsidP="009114F3">
            <w:pPr>
              <w:rPr>
                <w:rFonts w:eastAsia="Times New Roman" w:cstheme="minorHAnsi"/>
              </w:rPr>
            </w:pPr>
            <w:r w:rsidRPr="00105BD1">
              <w:rPr>
                <w:rFonts w:eastAsia="Times New Roman" w:cstheme="minorHAnsi"/>
              </w:rPr>
              <w:t>Hort Innovation is working with research company Fiftyfive5 to provide the Australian horticulture sector access to regularly updated information about consumer attitudes and behaviours during this time of COVID-19 disruption, through Fiftyfive5’s Category and Consumer Impact Monitor.</w:t>
            </w:r>
          </w:p>
        </w:tc>
        <w:tc>
          <w:tcPr>
            <w:tcW w:w="1083" w:type="pct"/>
            <w:gridSpan w:val="3"/>
            <w:hideMark/>
          </w:tcPr>
          <w:p w14:paraId="7AD28EFB" w14:textId="77777777" w:rsidR="00484AF8" w:rsidRPr="00105BD1" w:rsidRDefault="00484AF8" w:rsidP="009114F3">
            <w:pPr>
              <w:rPr>
                <w:rFonts w:eastAsia="Times New Roman" w:cstheme="minorHAnsi"/>
              </w:rPr>
            </w:pPr>
            <w:r w:rsidRPr="00105BD1">
              <w:rPr>
                <w:rFonts w:eastAsia="Times New Roman" w:cstheme="minorHAnsi"/>
              </w:rPr>
              <w:t>FiftyFive5</w:t>
            </w:r>
            <w:r w:rsidRPr="00105BD1">
              <w:rPr>
                <w:rFonts w:eastAsia="Times New Roman" w:cstheme="minorHAnsi"/>
              </w:rPr>
              <w:br/>
              <w:t>Contact person: Karen Phillips</w:t>
            </w:r>
            <w:r w:rsidRPr="00105BD1">
              <w:rPr>
                <w:rFonts w:eastAsia="Times New Roman" w:cstheme="minorHAnsi"/>
              </w:rPr>
              <w:br/>
              <w:t>Phone: 0292113595</w:t>
            </w:r>
            <w:r w:rsidRPr="00105BD1">
              <w:rPr>
                <w:rFonts w:eastAsia="Times New Roman" w:cstheme="minorHAnsi"/>
              </w:rPr>
              <w:br/>
              <w:t>Email: Karenp@fiftyfive5.com</w:t>
            </w:r>
          </w:p>
        </w:tc>
        <w:tc>
          <w:tcPr>
            <w:tcW w:w="1031" w:type="pct"/>
            <w:gridSpan w:val="3"/>
            <w:hideMark/>
          </w:tcPr>
          <w:p w14:paraId="7AC42A77" w14:textId="77777777" w:rsidR="00484AF8" w:rsidRPr="00105BD1" w:rsidRDefault="00484AF8" w:rsidP="009114F3">
            <w:pPr>
              <w:rPr>
                <w:rFonts w:eastAsia="Times New Roman" w:cstheme="minorHAnsi"/>
                <w:color w:val="0000FF"/>
                <w:u w:val="single"/>
              </w:rPr>
            </w:pPr>
            <w:hyperlink r:id="rId22" w:history="1">
              <w:r w:rsidRPr="00105BD1">
                <w:rPr>
                  <w:rFonts w:eastAsia="Times New Roman" w:cstheme="minorHAnsi"/>
                  <w:color w:val="0000FF"/>
                  <w:u w:val="single"/>
                </w:rPr>
                <w:t>https://www.horticulture.com.au/growers/help-your-business-grow/research-reports-publications-fact-sheets-and-more/st19031/</w:t>
              </w:r>
            </w:hyperlink>
          </w:p>
        </w:tc>
      </w:tr>
      <w:tr w:rsidR="00484AF8" w:rsidRPr="00105BD1" w14:paraId="62F34283" w14:textId="77777777" w:rsidTr="00484AF8">
        <w:trPr>
          <w:gridAfter w:val="1"/>
          <w:wAfter w:w="27" w:type="pct"/>
          <w:trHeight w:val="3080"/>
        </w:trPr>
        <w:tc>
          <w:tcPr>
            <w:tcW w:w="878" w:type="pct"/>
          </w:tcPr>
          <w:p w14:paraId="1FEC1FCD" w14:textId="673384C7" w:rsidR="00484AF8" w:rsidRPr="00105BD1" w:rsidRDefault="00484AF8" w:rsidP="00484AF8">
            <w:pPr>
              <w:rPr>
                <w:rFonts w:eastAsia="Times New Roman" w:cstheme="minorHAnsi"/>
                <w:b/>
                <w:bCs/>
              </w:rPr>
            </w:pPr>
            <w:r w:rsidRPr="00105BD1">
              <w:rPr>
                <w:rFonts w:eastAsia="Times New Roman" w:cstheme="minorHAnsi"/>
                <w:b/>
                <w:bCs/>
              </w:rPr>
              <w:t>Market research around the opportunity to create more vegetable snacking options to quantify market size (VG14024)</w:t>
            </w:r>
          </w:p>
        </w:tc>
        <w:tc>
          <w:tcPr>
            <w:tcW w:w="2035" w:type="pct"/>
            <w:gridSpan w:val="3"/>
          </w:tcPr>
          <w:p w14:paraId="408CBC49" w14:textId="3E79C718" w:rsidR="00484AF8" w:rsidRPr="00105BD1" w:rsidRDefault="00484AF8" w:rsidP="00484AF8">
            <w:pPr>
              <w:rPr>
                <w:rFonts w:eastAsia="Times New Roman" w:cstheme="minorHAnsi"/>
              </w:rPr>
            </w:pPr>
            <w:r w:rsidRPr="00105BD1">
              <w:rPr>
                <w:rFonts w:eastAsia="Times New Roman" w:cstheme="minorHAnsi"/>
              </w:rPr>
              <w:t>This project undertook market research to investigate opportunities for creating more vegetable snacking options, including looking at the potential market size for those options.</w:t>
            </w:r>
            <w:r w:rsidRPr="00105BD1">
              <w:rPr>
                <w:rFonts w:eastAsia="Times New Roman" w:cstheme="minorHAnsi"/>
              </w:rPr>
              <w:br/>
            </w:r>
            <w:r w:rsidRPr="00105BD1">
              <w:rPr>
                <w:rFonts w:eastAsia="Times New Roman" w:cstheme="minorHAnsi"/>
              </w:rPr>
              <w:br/>
              <w:t xml:space="preserve">The five areas of research were: </w:t>
            </w:r>
            <w:r w:rsidRPr="00105BD1">
              <w:rPr>
                <w:rFonts w:eastAsia="Times New Roman" w:cstheme="minorHAnsi"/>
              </w:rPr>
              <w:br/>
            </w:r>
            <w:r w:rsidRPr="00105BD1">
              <w:rPr>
                <w:rFonts w:eastAsia="Times New Roman" w:cstheme="minorHAnsi"/>
              </w:rPr>
              <w:br/>
              <w:t>The Australian snack food market</w:t>
            </w:r>
            <w:r w:rsidRPr="00105BD1">
              <w:rPr>
                <w:rFonts w:eastAsia="Times New Roman" w:cstheme="minorHAnsi"/>
              </w:rPr>
              <w:br/>
              <w:t>Australian snack food distribution channels</w:t>
            </w:r>
            <w:r w:rsidRPr="00105BD1">
              <w:rPr>
                <w:rFonts w:eastAsia="Times New Roman" w:cstheme="minorHAnsi"/>
              </w:rPr>
              <w:br/>
              <w:t>International retail snacking range analysis</w:t>
            </w:r>
            <w:r w:rsidRPr="00105BD1">
              <w:rPr>
                <w:rFonts w:eastAsia="Times New Roman" w:cstheme="minorHAnsi"/>
              </w:rPr>
              <w:br/>
              <w:t>Australian consumer snacking behaviour</w:t>
            </w:r>
            <w:r w:rsidRPr="00105BD1">
              <w:rPr>
                <w:rFonts w:eastAsia="Times New Roman" w:cstheme="minorHAnsi"/>
              </w:rPr>
              <w:br/>
              <w:t>Quantification of identified vegetable snack food opportunities.</w:t>
            </w:r>
          </w:p>
        </w:tc>
        <w:tc>
          <w:tcPr>
            <w:tcW w:w="1085" w:type="pct"/>
            <w:gridSpan w:val="3"/>
          </w:tcPr>
          <w:p w14:paraId="72201AED" w14:textId="60D7C6C6" w:rsidR="00484AF8" w:rsidRPr="00105BD1" w:rsidRDefault="00484AF8" w:rsidP="00484AF8">
            <w:pPr>
              <w:rPr>
                <w:rFonts w:eastAsia="Times New Roman" w:cstheme="minorHAnsi"/>
              </w:rPr>
            </w:pPr>
            <w:proofErr w:type="spellStart"/>
            <w:r w:rsidRPr="00105BD1">
              <w:rPr>
                <w:rFonts w:eastAsia="Times New Roman" w:cstheme="minorHAnsi"/>
              </w:rPr>
              <w:t>Freshlogic</w:t>
            </w:r>
            <w:proofErr w:type="spellEnd"/>
            <w:r w:rsidRPr="00105BD1">
              <w:rPr>
                <w:rFonts w:eastAsia="Times New Roman" w:cstheme="minorHAnsi"/>
              </w:rPr>
              <w:br/>
              <w:t xml:space="preserve">Martin </w:t>
            </w:r>
            <w:proofErr w:type="spellStart"/>
            <w:r w:rsidRPr="00105BD1">
              <w:rPr>
                <w:rFonts w:eastAsia="Times New Roman" w:cstheme="minorHAnsi"/>
              </w:rPr>
              <w:t>Keebone</w:t>
            </w:r>
            <w:proofErr w:type="spellEnd"/>
            <w:r w:rsidRPr="00105BD1">
              <w:rPr>
                <w:rFonts w:eastAsia="Times New Roman" w:cstheme="minorHAnsi"/>
              </w:rPr>
              <w:t xml:space="preserve"> info@freshlogic.com.au</w:t>
            </w:r>
          </w:p>
        </w:tc>
        <w:tc>
          <w:tcPr>
            <w:tcW w:w="975" w:type="pct"/>
          </w:tcPr>
          <w:p w14:paraId="54B5F134" w14:textId="50F178B7" w:rsidR="00484AF8" w:rsidRDefault="00484AF8" w:rsidP="00484AF8">
            <w:hyperlink r:id="rId23" w:history="1">
              <w:r w:rsidRPr="00105BD1">
                <w:rPr>
                  <w:rFonts w:eastAsia="Times New Roman" w:cstheme="minorHAnsi"/>
                  <w:color w:val="0000FF"/>
                  <w:u w:val="single"/>
                </w:rPr>
                <w:t>https://www.horticulture.com.au/growers/help-your-business-grow/research-reports-publications-fact-sheets-and-more/vg14024/</w:t>
              </w:r>
            </w:hyperlink>
          </w:p>
        </w:tc>
      </w:tr>
      <w:tr w:rsidR="00484AF8" w:rsidRPr="00105BD1" w14:paraId="67E8F522" w14:textId="77777777" w:rsidTr="00484AF8">
        <w:trPr>
          <w:gridAfter w:val="1"/>
          <w:wAfter w:w="27" w:type="pct"/>
          <w:trHeight w:val="3080"/>
        </w:trPr>
        <w:tc>
          <w:tcPr>
            <w:tcW w:w="878" w:type="pct"/>
          </w:tcPr>
          <w:p w14:paraId="7D2C0E35" w14:textId="6F110851" w:rsidR="00484AF8" w:rsidRPr="00105BD1" w:rsidRDefault="00484AF8" w:rsidP="00484AF8">
            <w:pPr>
              <w:rPr>
                <w:rFonts w:eastAsia="Times New Roman" w:cstheme="minorHAnsi"/>
                <w:b/>
                <w:bCs/>
              </w:rPr>
            </w:pPr>
            <w:r w:rsidRPr="00105BD1">
              <w:rPr>
                <w:rFonts w:eastAsia="Times New Roman" w:cstheme="minorHAnsi"/>
                <w:b/>
                <w:bCs/>
              </w:rPr>
              <w:lastRenderedPageBreak/>
              <w:t>Market research for investigating opportunities for more vegetable meal occasions (VG14026)</w:t>
            </w:r>
          </w:p>
        </w:tc>
        <w:tc>
          <w:tcPr>
            <w:tcW w:w="2035" w:type="pct"/>
            <w:gridSpan w:val="3"/>
          </w:tcPr>
          <w:p w14:paraId="1E29F0AE" w14:textId="7B790C00" w:rsidR="00484AF8" w:rsidRPr="00105BD1" w:rsidRDefault="00484AF8" w:rsidP="00484AF8">
            <w:pPr>
              <w:rPr>
                <w:rFonts w:eastAsia="Times New Roman" w:cstheme="minorHAnsi"/>
              </w:rPr>
            </w:pPr>
            <w:r w:rsidRPr="00105BD1">
              <w:rPr>
                <w:rFonts w:eastAsia="Times New Roman" w:cstheme="minorHAnsi"/>
              </w:rPr>
              <w:t>The objective of this project was to identify new occasions, seasonal opportunities, or ways to consume vegetables that have the most potential to increase demand.</w:t>
            </w:r>
            <w:r w:rsidRPr="00105BD1">
              <w:rPr>
                <w:rFonts w:eastAsia="Times New Roman" w:cstheme="minorHAnsi"/>
              </w:rPr>
              <w:br/>
            </w:r>
            <w:r w:rsidRPr="00105BD1">
              <w:rPr>
                <w:rFonts w:eastAsia="Times New Roman" w:cstheme="minorHAnsi"/>
              </w:rPr>
              <w:br/>
              <w:t xml:space="preserve">It was found that all 11 vegetables studied in this project had untapped consumption potential, irrespective of their current popularity. The vegetables included carrots, pumpkin, capsicum, broccoli, cauliflower, sweetcorn, cabbage, green beans, leeks, </w:t>
            </w:r>
            <w:proofErr w:type="gramStart"/>
            <w:r w:rsidRPr="00105BD1">
              <w:rPr>
                <w:rFonts w:eastAsia="Times New Roman" w:cstheme="minorHAnsi"/>
              </w:rPr>
              <w:t>eggplant</w:t>
            </w:r>
            <w:proofErr w:type="gramEnd"/>
            <w:r w:rsidRPr="00105BD1">
              <w:rPr>
                <w:rFonts w:eastAsia="Times New Roman" w:cstheme="minorHAnsi"/>
              </w:rPr>
              <w:t xml:space="preserve"> and beetroot.</w:t>
            </w:r>
          </w:p>
        </w:tc>
        <w:tc>
          <w:tcPr>
            <w:tcW w:w="1085" w:type="pct"/>
            <w:gridSpan w:val="3"/>
          </w:tcPr>
          <w:p w14:paraId="4A030C91" w14:textId="6DCE5083" w:rsidR="00484AF8" w:rsidRPr="00105BD1" w:rsidRDefault="00484AF8" w:rsidP="00484AF8">
            <w:pPr>
              <w:rPr>
                <w:rFonts w:eastAsia="Times New Roman" w:cstheme="minorHAnsi"/>
              </w:rPr>
            </w:pPr>
            <w:r w:rsidRPr="00105BD1">
              <w:rPr>
                <w:rFonts w:eastAsia="Times New Roman" w:cstheme="minorHAnsi"/>
              </w:rPr>
              <w:t>Horizon Research Corporation</w:t>
            </w:r>
          </w:p>
        </w:tc>
        <w:tc>
          <w:tcPr>
            <w:tcW w:w="975" w:type="pct"/>
          </w:tcPr>
          <w:p w14:paraId="7205E9D8" w14:textId="1EF39CD1" w:rsidR="00484AF8" w:rsidRDefault="00484AF8" w:rsidP="00484AF8">
            <w:hyperlink r:id="rId24" w:history="1">
              <w:r w:rsidRPr="00105BD1">
                <w:rPr>
                  <w:rFonts w:eastAsia="Times New Roman" w:cstheme="minorHAnsi"/>
                  <w:color w:val="0000FF"/>
                  <w:u w:val="single"/>
                </w:rPr>
                <w:t>https://www.horticulture.com.au/growers/help-your-business-grow/research-reports-publications-fact-sheets-and-more/vg14026/</w:t>
              </w:r>
            </w:hyperlink>
          </w:p>
        </w:tc>
      </w:tr>
    </w:tbl>
    <w:p w14:paraId="69639DAB" w14:textId="77777777" w:rsidR="00484AF8" w:rsidRPr="00105BD1" w:rsidRDefault="00484AF8">
      <w:pPr>
        <w:rPr>
          <w:rFonts w:cstheme="minorHAnsi"/>
        </w:rPr>
      </w:pPr>
    </w:p>
    <w:sectPr w:rsidR="00484AF8" w:rsidRPr="00105BD1" w:rsidSect="00B64B1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MDc1MTQzMLO0sDRU0lEKTi0uzszPAykwrAUA/F9UriwAAAA="/>
  </w:docVars>
  <w:rsids>
    <w:rsidRoot w:val="00B64B1C"/>
    <w:rsid w:val="000E684B"/>
    <w:rsid w:val="00105BD1"/>
    <w:rsid w:val="0036562D"/>
    <w:rsid w:val="00484AF8"/>
    <w:rsid w:val="006169D9"/>
    <w:rsid w:val="00B64B1C"/>
    <w:rsid w:val="00D25813"/>
    <w:rsid w:val="00DB5C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0051"/>
  <w15:chartTrackingRefBased/>
  <w15:docId w15:val="{54B3E5B0-E162-3C4D-A8A1-7B90A77F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B1C"/>
    <w:rPr>
      <w:color w:val="1155CC"/>
      <w:u w:val="single"/>
    </w:rPr>
  </w:style>
  <w:style w:type="table" w:styleId="TableGrid">
    <w:name w:val="Table Grid"/>
    <w:basedOn w:val="TableNormal"/>
    <w:uiPriority w:val="39"/>
    <w:rsid w:val="00B6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5B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5B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9132">
      <w:bodyDiv w:val="1"/>
      <w:marLeft w:val="0"/>
      <w:marRight w:val="0"/>
      <w:marTop w:val="0"/>
      <w:marBottom w:val="0"/>
      <w:divBdr>
        <w:top w:val="none" w:sz="0" w:space="0" w:color="auto"/>
        <w:left w:val="none" w:sz="0" w:space="0" w:color="auto"/>
        <w:bottom w:val="none" w:sz="0" w:space="0" w:color="auto"/>
        <w:right w:val="none" w:sz="0" w:space="0" w:color="auto"/>
      </w:divBdr>
    </w:div>
    <w:div w:id="8057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veg.com.au/articles/new-online-export-fundamentals-training-course/" TargetMode="External"/><Relationship Id="rId13" Type="http://schemas.openxmlformats.org/officeDocument/2006/relationships/hyperlink" Target="https://www.horticulture.com.au/growers/help-your-business-grow/research-reports-publications-fact-sheets-and-more/st19037/" TargetMode="External"/><Relationship Id="rId18" Type="http://schemas.openxmlformats.org/officeDocument/2006/relationships/hyperlink" Target="https://www.horticulture.com.au/growers/help-your-business-grow/research-reports-publications-fact-sheets-and-more/vg1507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horticulture.com.au/growers/help-your-business-grow/research-reports-publications-fact-sheets-and-more/mt17017c/" TargetMode="External"/><Relationship Id="rId7" Type="http://schemas.openxmlformats.org/officeDocument/2006/relationships/hyperlink" Target="https://www.horticulture.com.au/growers/help-your-business-grow/research-reports-publications-fact-sheets-and-more/vg16061/" TargetMode="External"/><Relationship Id="rId12" Type="http://schemas.openxmlformats.org/officeDocument/2006/relationships/hyperlink" Target="https://www.horticulture.com.au/growers/help-your-business-grow/research-reports-publications-fact-sheets-and-more/mt16008/" TargetMode="External"/><Relationship Id="rId17" Type="http://schemas.openxmlformats.org/officeDocument/2006/relationships/hyperlink" Target="https://www.horticulture.com.au/growers/help-your-business-grow/research-reports-publications-fact-sheets-and-more/vg1208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orticulture.com.au/growers/help-your-business-grow/research-reports-publications-fact-sheets-and-more/vg16018a/" TargetMode="External"/><Relationship Id="rId20" Type="http://schemas.openxmlformats.org/officeDocument/2006/relationships/hyperlink" Target="https://www.harvesttohome.net.au/vegetable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horticulture.com.au/growers/help-your-business-grow/research-reports-publications-fact-sheets-and-more/vg16064/" TargetMode="External"/><Relationship Id="rId24" Type="http://schemas.openxmlformats.org/officeDocument/2006/relationships/hyperlink" Target="https://www.horticulture.com.au/growers/help-your-business-grow/research-reports-publications-fact-sheets-and-more/vg14026/" TargetMode="External"/><Relationship Id="rId5" Type="http://schemas.openxmlformats.org/officeDocument/2006/relationships/image" Target="media/image1.jpg"/><Relationship Id="rId15" Type="http://schemas.openxmlformats.org/officeDocument/2006/relationships/hyperlink" Target="https://www.soilwealth.com.au/resources/articles-and-publications/sustainable-vegetable-production-in-australia-whats-next/" TargetMode="External"/><Relationship Id="rId23" Type="http://schemas.openxmlformats.org/officeDocument/2006/relationships/hyperlink" Target="https://www.horticulture.com.au/growers/help-your-business-grow/research-reports-publications-fact-sheets-and-more/vg14024/" TargetMode="External"/><Relationship Id="rId10" Type="http://schemas.openxmlformats.org/officeDocument/2006/relationships/hyperlink" Target="https://www.horticulture.com.au/growers/help-your-business-grow/research-reports-publications-fact-sheets-and-more/vg13083/" TargetMode="External"/><Relationship Id="rId19" Type="http://schemas.openxmlformats.org/officeDocument/2006/relationships/hyperlink" Target="https://www.horticulture.com.au/growers/help-your-business-grow/research-reports-publications-fact-sheets-and-more/vegetable-data-generation-investments/" TargetMode="External"/><Relationship Id="rId4" Type="http://schemas.openxmlformats.org/officeDocument/2006/relationships/hyperlink" Target="http://www.ausvegsa.com.au/" TargetMode="External"/><Relationship Id="rId9" Type="http://schemas.openxmlformats.org/officeDocument/2006/relationships/hyperlink" Target="https://www.horticulture.com.au/growers/help-your-business-grow/research-reports-publications-fact-sheets-and-more/Breaking-barriers-through-trade-and-Taste-Australia/" TargetMode="External"/><Relationship Id="rId14" Type="http://schemas.openxmlformats.org/officeDocument/2006/relationships/hyperlink" Target="https://www.soilwealth.com.au/contact/" TargetMode="External"/><Relationship Id="rId22" Type="http://schemas.openxmlformats.org/officeDocument/2006/relationships/hyperlink" Target="https://www.horticulture.com.au/growers/help-your-business-grow/research-reports-publications-fact-sheets-and-more/st19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Brooke-Barnett</cp:lastModifiedBy>
  <cp:revision>2</cp:revision>
  <dcterms:created xsi:type="dcterms:W3CDTF">2021-09-23T04:47:00Z</dcterms:created>
  <dcterms:modified xsi:type="dcterms:W3CDTF">2021-09-23T04:47:00Z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1664296273</vt:i4>
  </property>
</Properties>
</file>